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1A594E6">
      <w:pPr>
        <w:spacing w:before="432" w:after="432" w:line="396"/>
        <w:ind w:firstLine="480"/>
        <w:jc w:val="center"/>
        <w:rPr>
          <w:color w:val="0288d1"/>
        </w:rPr>
      </w:pPr>
      <w:r>
        <w:rPr>
          <w:rFonts w:hint="eastAsia" w:ascii="SimHei" w:hAnsi="SimHei" w:eastAsia="SimHei" w:cs="SimHei"/>
          <w:b w:val="1"/>
          <w:color w:val="0288d1"/>
          <w:sz w:val="24"/>
        </w:rPr>
        <w:t>AI创业服务 · 企业智能化转型</w:t>
      </w:r>
    </w:p>
    <w:p w14:paraId="034B29CC">
      <w:pPr>
        <w:spacing w:before="432" w:after="240" w:line="324"/>
        <w:ind w:firstLine="480"/>
        <w:jc w:val="center"/>
        <w:rPr>
          <w:color w:val="1565c0"/>
        </w:rPr>
      </w:pPr>
      <w:r>
        <w:rPr>
          <w:rFonts w:hint="eastAsia" w:ascii="SimHei" w:hAnsi="SimHei" w:eastAsia="SimHei" w:cs="SimHei"/>
          <w:b w:val="1"/>
          <w:color w:val="1565c0"/>
          <w:sz w:val="56"/>
        </w:rPr>
        <w:t>AI创业与企业AI化转型实施方案</w:t>
      </w:r>
    </w:p>
    <w:p w14:paraId="6F801B21">
      <w:pPr>
        <w:spacing w:before="240" w:after="432" w:line="324"/>
        <w:ind w:firstLine="480"/>
        <w:jc w:val="center"/>
        <w:rPr>
          <w:color w:val="616161"/>
        </w:rPr>
      </w:pPr>
      <w:r>
        <w:rPr>
          <w:rFonts w:hint="eastAsia" w:ascii="SimSun" w:hAnsi="SimSun" w:eastAsia="SimSun" w:cs="SimSun"/>
          <w:color w:val="616161"/>
          <w:sz w:val="36"/>
        </w:rPr>
        <w:t>三级服务包、场景工具包、行业组合方案与12个月落地路线图</w:t>
      </w:r>
    </w:p>
    <w:p w14:paraId="34D722B9">
      <w:pPr>
        <w:spacing w:before="432" w:after="192" w:line="396"/>
        <w:ind w:firstLine="480"/>
        <w:jc w:val="center"/>
        <w:rPr>
          <w:color w:val="616161"/>
        </w:rPr>
      </w:pPr>
      <w:r>
        <w:rPr>
          <w:rFonts w:hint="eastAsia" w:ascii="SimSun" w:hAnsi="SimSun" w:eastAsia="SimSun" w:cs="SimSun"/>
          <w:color w:val="616161"/>
          <w:sz w:val="24"/>
        </w:rPr>
        <w:t>专业商务方案｜版本 V1.1</w:t>
      </w:r>
    </w:p>
    <w:p w14:paraId="1FB7548A">
      <w:pPr>
        <w:spacing w:before="432" w:after="192" w:line="396"/>
        <w:ind w:firstLine="480"/>
        <w:jc w:val="center"/>
        <w:rPr>
          <w:color w:val="616161"/>
        </w:rPr>
        <w:sectPr>
          <w:type w:val="nextPage"/>
          <w:pgSz w:w="11906" w:h="16838"/>
          <w:pgMar w:top="1440" w:right="1800" w:bottom="1440" w:left="1800" w:header="851" w:footer="992" w:gutter="0"/>
        </w:sectPr>
      </w:pPr>
      <w:r>
        <w:rPr>
          <w:rFonts w:hint="eastAsia" w:ascii="SimSun" w:hAnsi="SimSun" w:eastAsia="SimSun" w:cs="SimSun"/>
          <w:color w:val="616161"/>
          <w:sz w:val="24"/>
        </w:rPr>
        <w:t>2026年10月26日</w:t>
      </w:r>
    </w:p>
    <w:p w14:paraId="7A1E4212">
      <w:pPr>
        <w:spacing w:before="240" w:after="120"/>
      </w:pPr>
      <w:r>
        <w:rPr>
          <w:rFonts w:hint="eastAsia"/>
          <w:b w:val="1"/>
        </w:rPr>
        <w:t>目录</w:t>
      </w:r>
    </w:p>
    <w:p w14:paraId="64364CB2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"1-2" \h \z \u </w:instrText>
      </w:r>
      <w:r>
        <w:fldChar w:fldCharType="separate" w:fldLock="0" w:dirty="0"/>
      </w:r>
      <w:r>
        <w:fldChar w:fldCharType="begin" w:fldLock="0" w:dirty="0"/>
      </w:r>
      <w:r>
        <w:instrText xml:space="preserve"> HYPERLINK \l "section-1" </w:instrText>
      </w:r>
      <w:r>
        <w:fldChar w:fldCharType="separate" w:fldLock="0" w:dirty="0"/>
      </w:r>
      <w:r>
        <w:rPr>
          <w:rFonts w:hint="eastAsia"/>
        </w:rPr>
        <w:t>摘要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B80151A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"section-2" </w:instrText>
      </w:r>
      <w:r>
        <w:fldChar w:fldCharType="separate" w:fldLock="0" w:dirty="0"/>
      </w:r>
      <w:r>
        <w:rPr>
          <w:rFonts w:hint="eastAsia"/>
        </w:rPr>
        <w:t>一、项目定位与发展目标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CB90C26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"subsection-1" </w:instrText>
      </w:r>
      <w:r>
        <w:fldChar w:fldCharType="separate" w:fldLock="0" w:dirty="0"/>
      </w:r>
      <w:r>
        <w:rPr>
          <w:rFonts w:hint="eastAsia"/>
        </w:rPr>
        <w:t>1.1 项目定位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872675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"subsection-2" </w:instrText>
      </w:r>
      <w:r>
        <w:fldChar w:fldCharType="separate" w:fldLock="0" w:dirty="0"/>
      </w:r>
      <w:r>
        <w:rPr>
          <w:rFonts w:hint="eastAsia"/>
        </w:rPr>
        <w:t>1.2 三阶段发展目标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74B03C2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"subsection-3" </w:instrText>
      </w:r>
      <w:r>
        <w:fldChar w:fldCharType="separate" w:fldLock="0" w:dirty="0"/>
      </w:r>
      <w:r>
        <w:rPr>
          <w:rFonts w:hint="eastAsia"/>
        </w:rPr>
        <w:t>1.3 核心经营原则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C5957AA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"section-3" </w:instrText>
      </w:r>
      <w:r>
        <w:fldChar w:fldCharType="separate" w:fldLock="0" w:dirty="0"/>
      </w:r>
      <w:r>
        <w:rPr>
          <w:rFonts w:hint="eastAsia"/>
        </w:rPr>
        <w:t>二、目标客户与需求分层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B967A9F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"subsection-4" </w:instrText>
      </w:r>
      <w:r>
        <w:fldChar w:fldCharType="separate" w:fldLock="0" w:dirty="0"/>
      </w:r>
      <w:r>
        <w:rPr>
          <w:rFonts w:hint="eastAsia"/>
        </w:rPr>
        <w:t>2.1 主要客户画像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74F591A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"subsection-5" </w:instrText>
      </w:r>
      <w:r>
        <w:fldChar w:fldCharType="separate" w:fldLock="0" w:dirty="0"/>
      </w:r>
      <w:r>
        <w:rPr>
          <w:rFonts w:hint="eastAsia"/>
        </w:rPr>
        <w:t>2.2 客户需求成熟度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2C974ED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"section-4" </w:instrText>
      </w:r>
      <w:r>
        <w:fldChar w:fldCharType="separate" w:fldLock="0" w:dirty="0"/>
      </w:r>
      <w:r>
        <w:rPr>
          <w:rFonts w:hint="eastAsia"/>
        </w:rPr>
        <w:t>三、产品总体架构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603C13A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"section-5" </w:instrText>
      </w:r>
      <w:r>
        <w:fldChar w:fldCharType="separate" w:fldLock="0" w:dirty="0"/>
      </w:r>
      <w:r>
        <w:rPr>
          <w:rFonts w:hint="eastAsia"/>
        </w:rPr>
        <w:t>四、三级服务包设计与定价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003C5AA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"subsection-6" </w:instrText>
      </w:r>
      <w:r>
        <w:fldChar w:fldCharType="separate" w:fldLock="0" w:dirty="0"/>
      </w:r>
      <w:r>
        <w:rPr>
          <w:rFonts w:hint="eastAsia"/>
        </w:rPr>
        <w:t>4.1 基础型：AI工具学习与自助落地会员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E00546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"subsection-7" </w:instrText>
      </w:r>
      <w:r>
        <w:fldChar w:fldCharType="separate" w:fldLock="0" w:dirty="0"/>
      </w:r>
      <w:r>
        <w:rPr>
          <w:rFonts w:hint="eastAsia"/>
        </w:rPr>
        <w:t>4.2 陪跑型：1对1共创与AI化转型陪跑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4007E7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"subsection-8" </w:instrText>
      </w:r>
      <w:r>
        <w:fldChar w:fldCharType="separate" w:fldLock="0" w:dirty="0"/>
      </w:r>
      <w:r>
        <w:rPr>
          <w:rFonts w:hint="eastAsia"/>
        </w:rPr>
        <w:t>4.3 托管型：从想法到上线的全流程代交付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0244AF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"subsection-9" </w:instrText>
      </w:r>
      <w:r>
        <w:fldChar w:fldCharType="separate" w:fldLock="0" w:dirty="0"/>
      </w:r>
      <w:r>
        <w:rPr>
          <w:rFonts w:hint="eastAsia"/>
        </w:rPr>
        <w:t>4.4 三级服务包对比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9FD705D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"subsection-10" </w:instrText>
      </w:r>
      <w:r>
        <w:fldChar w:fldCharType="separate" w:fldLock="0" w:dirty="0"/>
      </w:r>
      <w:r>
        <w:rPr>
          <w:rFonts w:hint="eastAsia"/>
        </w:rPr>
        <w:t>4.5 升级与组合机制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31FFA2C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"section-6" </w:instrText>
      </w:r>
      <w:r>
        <w:fldChar w:fldCharType="separate" w:fldLock="0" w:dirty="0"/>
      </w:r>
      <w:r>
        <w:rPr>
          <w:rFonts w:hint="eastAsia"/>
        </w:rPr>
        <w:t>五、场景工具包设计与定价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5E7F8F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"subsection-11" </w:instrText>
      </w:r>
      <w:r>
        <w:fldChar w:fldCharType="separate" w:fldLock="0" w:dirty="0"/>
      </w:r>
      <w:r>
        <w:rPr>
          <w:rFonts w:hint="eastAsia"/>
        </w:rPr>
        <w:t>5.1 工具包一：AI小程序与官方网站建设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35FDFD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"subsection-12" </w:instrText>
      </w:r>
      <w:r>
        <w:fldChar w:fldCharType="separate" w:fldLock="0" w:dirty="0"/>
      </w:r>
      <w:r>
        <w:rPr>
          <w:rFonts w:hint="eastAsia"/>
        </w:rPr>
        <w:t>5.2 工具包二：基于大模型的AI客服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8A424A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"subsection-13" </w:instrText>
      </w:r>
      <w:r>
        <w:fldChar w:fldCharType="separate" w:fldLock="0" w:dirty="0"/>
      </w:r>
      <w:r>
        <w:rPr>
          <w:rFonts w:hint="eastAsia"/>
        </w:rPr>
        <w:t>5.3 工具包三：AI语音克隆与数字人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25FA26B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"subsection-14" </w:instrText>
      </w:r>
      <w:r>
        <w:fldChar w:fldCharType="separate" w:fldLock="0" w:dirty="0"/>
      </w:r>
      <w:r>
        <w:rPr>
          <w:rFonts w:hint="eastAsia"/>
        </w:rPr>
        <w:t>5.4 工具包四：短视频AI混剪与内容生产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B640E5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"subsection-15" </w:instrText>
      </w:r>
      <w:r>
        <w:fldChar w:fldCharType="separate" w:fldLock="0" w:dirty="0"/>
      </w:r>
      <w:r>
        <w:rPr>
          <w:rFonts w:hint="eastAsia"/>
        </w:rPr>
        <w:t>5.5 工具包五：AI商业视觉生成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24E735B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"subsection-16" </w:instrText>
      </w:r>
      <w:r>
        <w:fldChar w:fldCharType="separate" w:fldLock="0" w:dirty="0"/>
      </w:r>
      <w:r>
        <w:rPr>
          <w:rFonts w:hint="eastAsia"/>
        </w:rPr>
        <w:t>5.6 工具包六：企业知识库与员工AI助手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DA725F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"subsection-17" </w:instrText>
      </w:r>
      <w:r>
        <w:fldChar w:fldCharType="separate" w:fldLock="0" w:dirty="0"/>
      </w:r>
      <w:r>
        <w:rPr>
          <w:rFonts w:hint="eastAsia"/>
        </w:rPr>
        <w:t>5.7 工具包七：AI办公自动化与智能体工作流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52406D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"subsection-18" </w:instrText>
      </w:r>
      <w:r>
        <w:fldChar w:fldCharType="separate" w:fldLock="0" w:dirty="0"/>
      </w:r>
      <w:r>
        <w:rPr>
          <w:rFonts w:hint="eastAsia"/>
        </w:rPr>
        <w:t>5.8 工具包八：私域营销与销售线索助手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BAEABD0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"subsection-19" </w:instrText>
      </w:r>
      <w:r>
        <w:fldChar w:fldCharType="separate" w:fldLock="0" w:dirty="0"/>
      </w:r>
      <w:r>
        <w:rPr>
          <w:rFonts w:hint="eastAsia"/>
        </w:rPr>
        <w:t>5.9 工具包九：AI营销内容矩阵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subsection-19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11F765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"subsection-20" </w:instrText>
      </w:r>
      <w:r>
        <w:fldChar w:fldCharType="separate" w:fldLock="0" w:dirty="0"/>
      </w:r>
      <w:r>
        <w:rPr>
          <w:rFonts w:hint="eastAsia"/>
        </w:rPr>
        <w:t>5.10 工具包十：经营数据分析与AI驾驶舱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C4F995F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"subsection-21" </w:instrText>
      </w:r>
      <w:r>
        <w:fldChar w:fldCharType="separate" w:fldLock="0" w:dirty="0"/>
      </w:r>
      <w:r>
        <w:rPr>
          <w:rFonts w:hint="eastAsia"/>
        </w:rPr>
        <w:t>5.11 工具包十一：AI招聘与人才发展助手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4EE6BC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"subsection-22" </w:instrText>
      </w:r>
      <w:r>
        <w:fldChar w:fldCharType="separate" w:fldLock="0" w:dirty="0"/>
      </w:r>
      <w:r>
        <w:rPr>
          <w:rFonts w:hint="eastAsia"/>
        </w:rPr>
        <w:t>5.12 工具包十二：企业AI培训与认证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AE577A4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"section-7" </w:instrText>
      </w:r>
      <w:r>
        <w:fldChar w:fldCharType="separate" w:fldLock="0" w:dirty="0"/>
      </w:r>
      <w:r>
        <w:rPr>
          <w:rFonts w:hint="eastAsia"/>
        </w:rPr>
        <w:t>六、行业组合包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3FB9804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"section-8" </w:instrText>
      </w:r>
      <w:r>
        <w:fldChar w:fldCharType="separate" w:fldLock="0" w:dirty="0"/>
      </w:r>
      <w:r>
        <w:rPr>
          <w:rFonts w:hint="eastAsia"/>
        </w:rPr>
        <w:t>七、商业模式与收入结构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5E4303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"subsection-23" </w:instrText>
      </w:r>
      <w:r>
        <w:fldChar w:fldCharType="separate" w:fldLock="0" w:dirty="0"/>
      </w:r>
      <w:r>
        <w:rPr>
          <w:rFonts w:hint="eastAsia"/>
        </w:rPr>
        <w:t>7.1 收入来源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7814822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"subsection-24" </w:instrText>
      </w:r>
      <w:r>
        <w:fldChar w:fldCharType="separate" w:fldLock="0" w:dirty="0"/>
      </w:r>
      <w:r>
        <w:rPr>
          <w:rFonts w:hint="eastAsia"/>
        </w:rPr>
        <w:t>7.2 产品漏斗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D97692F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"subsection-25" </w:instrText>
      </w:r>
      <w:r>
        <w:fldChar w:fldCharType="separate" w:fldLock="0" w:dirty="0"/>
      </w:r>
      <w:r>
        <w:rPr>
          <w:rFonts w:hint="eastAsia"/>
        </w:rPr>
        <w:t>7.3 价格管理原则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42EE54C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"section-9" </w:instrText>
      </w:r>
      <w:r>
        <w:fldChar w:fldCharType="separate" w:fldLock="0" w:dirty="0"/>
      </w:r>
      <w:r>
        <w:rPr>
          <w:rFonts w:hint="eastAsia"/>
        </w:rPr>
        <w:t>八、获客与品牌推广方案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64A3D3C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"subsection-26" </w:instrText>
      </w:r>
      <w:r>
        <w:fldChar w:fldCharType="separate" w:fldLock="0" w:dirty="0"/>
      </w:r>
      <w:r>
        <w:rPr>
          <w:rFonts w:hint="eastAsia"/>
        </w:rPr>
        <w:t>8.1 内容定位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8B36D2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"subsection-27" </w:instrText>
      </w:r>
      <w:r>
        <w:fldChar w:fldCharType="separate" w:fldLock="0" w:dirty="0"/>
      </w:r>
      <w:r>
        <w:rPr>
          <w:rFonts w:hint="eastAsia"/>
        </w:rPr>
        <w:t>8.2 渠道组合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F83643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"subsection-28" </w:instrText>
      </w:r>
      <w:r>
        <w:fldChar w:fldCharType="separate" w:fldLock="0" w:dirty="0"/>
      </w:r>
      <w:r>
        <w:rPr>
          <w:rFonts w:hint="eastAsia"/>
        </w:rPr>
        <w:t>8.3 标准销售资料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D49C4FA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"section-10" </w:instrText>
      </w:r>
      <w:r>
        <w:fldChar w:fldCharType="separate" w:fldLock="0" w:dirty="0"/>
      </w:r>
      <w:r>
        <w:rPr>
          <w:rFonts w:hint="eastAsia"/>
        </w:rPr>
        <w:t>九、交付SOP与验收机制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3363C6C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"subsection-29" </w:instrText>
      </w:r>
      <w:r>
        <w:fldChar w:fldCharType="separate" w:fldLock="0" w:dirty="0"/>
      </w:r>
      <w:r>
        <w:rPr>
          <w:rFonts w:hint="eastAsia"/>
        </w:rPr>
        <w:t>9.1 七步交付流程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subsection-29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927BFE2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"subsection-30" </w:instrText>
      </w:r>
      <w:r>
        <w:fldChar w:fldCharType="separate" w:fldLock="0" w:dirty="0"/>
      </w:r>
      <w:r>
        <w:rPr>
          <w:rFonts w:hint="eastAsia"/>
        </w:rPr>
        <w:t>9.2 标准项目文档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B870B7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"subsection-31" </w:instrText>
      </w:r>
      <w:r>
        <w:fldChar w:fldCharType="separate" w:fldLock="0" w:dirty="0"/>
      </w:r>
      <w:r>
        <w:rPr>
          <w:rFonts w:hint="eastAsia"/>
        </w:rPr>
        <w:t>9.3 变更管理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88100C8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"section-11" </w:instrText>
      </w:r>
      <w:r>
        <w:fldChar w:fldCharType="separate" w:fldLock="0" w:dirty="0"/>
      </w:r>
      <w:r>
        <w:rPr>
          <w:rFonts w:hint="eastAsia"/>
        </w:rPr>
        <w:t>十、团队配置与合作生态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FDA355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"subsection-32" </w:instrText>
      </w:r>
      <w:r>
        <w:fldChar w:fldCharType="separate" w:fldLock="0" w:dirty="0"/>
      </w:r>
      <w:r>
        <w:rPr>
          <w:rFonts w:hint="eastAsia"/>
        </w:rPr>
        <w:t>10.1 最小团队配置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C5BA61D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"subsection-33" </w:instrText>
      </w:r>
      <w:r>
        <w:fldChar w:fldCharType="separate" w:fldLock="0" w:dirty="0"/>
      </w:r>
      <w:r>
        <w:rPr>
          <w:rFonts w:hint="eastAsia"/>
        </w:rPr>
        <w:t>10.2 合作伙伴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DE5810F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"section-12" </w:instrText>
      </w:r>
      <w:r>
        <w:fldChar w:fldCharType="separate" w:fldLock="0" w:dirty="0"/>
      </w:r>
      <w:r>
        <w:rPr>
          <w:rFonts w:hint="eastAsia"/>
        </w:rPr>
        <w:t>十一、12个月实施路线图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E01388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"subsection-34" </w:instrText>
      </w:r>
      <w:r>
        <w:fldChar w:fldCharType="separate" w:fldLock="0" w:dirty="0"/>
      </w:r>
      <w:r>
        <w:rPr>
          <w:rFonts w:hint="eastAsia"/>
        </w:rPr>
        <w:t>第一季度：产品标准化与首批案例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13ED78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"subsection-35" </w:instrText>
      </w:r>
      <w:r>
        <w:fldChar w:fldCharType="separate" w:fldLock="0" w:dirty="0"/>
      </w:r>
      <w:r>
        <w:rPr>
          <w:rFonts w:hint="eastAsia"/>
        </w:rPr>
        <w:t>第二季度：建立销售与交付闭环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5EF729C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"subsection-36" </w:instrText>
      </w:r>
      <w:r>
        <w:fldChar w:fldCharType="separate" w:fldLock="0" w:dirty="0"/>
      </w:r>
      <w:r>
        <w:rPr>
          <w:rFonts w:hint="eastAsia"/>
        </w:rPr>
        <w:t>第三季度：放大标杆与行业复制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95FCE9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"subsection-37" </w:instrText>
      </w:r>
      <w:r>
        <w:fldChar w:fldCharType="separate" w:fldLock="0" w:dirty="0"/>
      </w:r>
      <w:r>
        <w:rPr>
          <w:rFonts w:hint="eastAsia"/>
        </w:rPr>
        <w:t>第四季度：形成稳定续费与生态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FA5A574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"section-13" </w:instrText>
      </w:r>
      <w:r>
        <w:fldChar w:fldCharType="separate" w:fldLock="0" w:dirty="0"/>
      </w:r>
      <w:r>
        <w:rPr>
          <w:rFonts w:hint="eastAsia"/>
        </w:rPr>
        <w:t>十二、首年营收测算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6EA59D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"subsection-38" </w:instrText>
      </w:r>
      <w:r>
        <w:fldChar w:fldCharType="separate" w:fldLock="0" w:dirty="0"/>
      </w:r>
      <w:r>
        <w:rPr>
          <w:rFonts w:hint="eastAsia"/>
        </w:rPr>
        <w:t>12.1 核心经营指标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FC83DB0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"section-14" </w:instrText>
      </w:r>
      <w:r>
        <w:fldChar w:fldCharType="separate" w:fldLock="0" w:dirty="0"/>
      </w:r>
      <w:r>
        <w:rPr>
          <w:rFonts w:hint="eastAsia"/>
        </w:rPr>
        <w:t>十三、官网建设方案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BF48920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"subsection-39" </w:instrText>
      </w:r>
      <w:r>
        <w:fldChar w:fldCharType="separate" w:fldLock="0" w:dirty="0"/>
      </w:r>
      <w:r>
        <w:rPr>
          <w:rFonts w:hint="eastAsia"/>
        </w:rPr>
        <w:t>13.1 官网目标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subsection-39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43104B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"subsection-40" </w:instrText>
      </w:r>
      <w:r>
        <w:fldChar w:fldCharType="separate" w:fldLock="0" w:dirty="0"/>
      </w:r>
      <w:r>
        <w:rPr>
          <w:rFonts w:hint="eastAsia"/>
        </w:rPr>
        <w:t>13.2 建议栏目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CC82B0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"subsection-41" </w:instrText>
      </w:r>
      <w:r>
        <w:fldChar w:fldCharType="separate" w:fldLock="0" w:dirty="0"/>
      </w:r>
      <w:r>
        <w:rPr>
          <w:rFonts w:hint="eastAsia"/>
        </w:rPr>
        <w:t>13.3 首页转化路径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58FAF8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"subsection-42" </w:instrText>
      </w:r>
      <w:r>
        <w:fldChar w:fldCharType="separate" w:fldLock="0" w:dirty="0"/>
      </w:r>
      <w:r>
        <w:rPr>
          <w:rFonts w:hint="eastAsia"/>
        </w:rPr>
        <w:t>13.4 官网内容原则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AD872BB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"section-15" </w:instrText>
      </w:r>
      <w:r>
        <w:fldChar w:fldCharType="separate" w:fldLock="0" w:dirty="0"/>
      </w:r>
      <w:r>
        <w:rPr>
          <w:rFonts w:hint="eastAsia"/>
        </w:rPr>
        <w:t>十四、风险控制与合规要求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04A86A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"subsection-43" </w:instrText>
      </w:r>
      <w:r>
        <w:fldChar w:fldCharType="separate" w:fldLock="0" w:dirty="0"/>
      </w:r>
      <w:r>
        <w:rPr>
          <w:rFonts w:hint="eastAsia"/>
        </w:rPr>
        <w:t>14.1 数据与隐私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A4A89F3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"subsection-44" </w:instrText>
      </w:r>
      <w:r>
        <w:fldChar w:fldCharType="separate" w:fldLock="0" w:dirty="0"/>
      </w:r>
      <w:r>
        <w:rPr>
          <w:rFonts w:hint="eastAsia"/>
        </w:rPr>
        <w:t>14.2 内容与知识产权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D03E94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"subsection-45" </w:instrText>
      </w:r>
      <w:r>
        <w:fldChar w:fldCharType="separate" w:fldLock="0" w:dirty="0"/>
      </w:r>
      <w:r>
        <w:rPr>
          <w:rFonts w:hint="eastAsia"/>
        </w:rPr>
        <w:t>14.3 生物特征与数字人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058BE4D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"subsection-46" </w:instrText>
      </w:r>
      <w:r>
        <w:fldChar w:fldCharType="separate" w:fldLock="0" w:dirty="0"/>
      </w:r>
      <w:r>
        <w:rPr>
          <w:rFonts w:hint="eastAsia"/>
        </w:rPr>
        <w:t>14.4 行业与自动化决策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CADC3EC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"subsection-47" </w:instrText>
      </w:r>
      <w:r>
        <w:fldChar w:fldCharType="separate" w:fldLock="0" w:dirty="0"/>
      </w:r>
      <w:r>
        <w:rPr>
          <w:rFonts w:hint="eastAsia"/>
        </w:rPr>
        <w:t>14.5 经营风险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62677ED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"section-16" </w:instrText>
      </w:r>
      <w:r>
        <w:fldChar w:fldCharType="separate" w:fldLock="0" w:dirty="0"/>
      </w:r>
      <w:r>
        <w:rPr>
          <w:rFonts w:hint="eastAsia"/>
        </w:rPr>
        <w:t>十五、立即行动清单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AEE1382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"subsection-48" </w:instrText>
      </w:r>
      <w:r>
        <w:fldChar w:fldCharType="separate" w:fldLock="0" w:dirty="0"/>
      </w:r>
      <w:r>
        <w:rPr>
          <w:rFonts w:hint="eastAsia"/>
        </w:rPr>
        <w:t>未来30天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85A1F6B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"subsection-49" </w:instrText>
      </w:r>
      <w:r>
        <w:fldChar w:fldCharType="separate" w:fldLock="0" w:dirty="0"/>
      </w:r>
      <w:r>
        <w:rPr>
          <w:rFonts w:hint="eastAsia"/>
        </w:rPr>
        <w:t>未来60天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subsection-49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B3A24B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"subsection-50" </w:instrText>
      </w:r>
      <w:r>
        <w:fldChar w:fldCharType="separate" w:fldLock="0" w:dirty="0"/>
      </w:r>
      <w:r>
        <w:rPr>
          <w:rFonts w:hint="eastAsia"/>
        </w:rPr>
        <w:t>未来90天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subsection-50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491C672">
      <w:pPr>
        <w:pStyle w:val="000003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"section-17" </w:instrText>
      </w:r>
      <w:r>
        <w:fldChar w:fldCharType="separate" w:fldLock="0" w:dirty="0"/>
      </w:r>
      <w:r>
        <w:rPr>
          <w:rFonts w:hint="eastAsia"/>
        </w:rPr>
        <w:t>结语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section-17 \h </w:instrText>
      </w:r>
      <w:r>
        <w:fldChar w:fldCharType="separate" w:fldLock="0" w:dirty="0"/>
      </w:r>
      <w:r>
        <w:t>1</w:t>
      </w:r>
      <w:r>
        <w:fldChar w:fldCharType="end" w:fldLock="0" w:dirty="0"/>
      </w:r>
      <w:r>
        <w:fldChar w:fldCharType="end" w:fldLock="0" w:dirty="0"/>
      </w:r>
    </w:p>
    <w:p w14:paraId="7B69EF53">
      <w:pPr>
        <w:sectPr>
          <w:type w:val="nextPage"/>
          <w:pgSz w:w="11906" w:h="16838"/>
          <w:pgMar w:top="1440" w:right="1800" w:bottom="1440" w:left="1800" w:header="851" w:footer="992" w:gutter="0"/>
        </w:sectPr>
      </w:pPr>
    </w:p>
    <w:p w14:paraId="74BB5553">
      <w:pPr>
        <w:pStyle w:val="000005"/>
        <w:keepNext w:val="1"/>
        <w:keepLines w:val="1"/>
        <w:pBdr>
          <w:bottom w:val="single" w:color="d9e2ec" w:sz="6"/>
        </w:pBdr>
        <w:spacing w:before="432" w:beforeAutospacing="1" w:after="432" w:afterAutospacing="1" w:line="324"/>
        <w:jc w:val="center"/>
        <w:outlineLvl w:val="0"/>
        <w:rPr>
          <w:color w:val="1565c0"/>
          <w:kern w:val="44"/>
          <w:sz w:val="44"/>
          <w:szCs w:val="44"/>
        </w:rPr>
      </w:pPr>
      <w:r>
        <w:rPr>
          <w:rFonts w:hint="eastAsia" w:ascii="SimHei" w:hAnsi="SimHei" w:eastAsia="SimHei" w:cs="SimHei"/>
          <w:b w:val="1"/>
          <w:color w:val="1565c0"/>
          <w:sz w:val="56"/>
        </w:rPr>
        <w:t>AI创业与企业AI化转型实施方案</w:t>
      </w:r>
    </w:p>
    <w:p w14:paraId="5F13C9D2">
      <w:pPr>
        <w:pStyle w:val="000006"/>
        <w:keepNext w:val="1"/>
        <w:keepLines w:val="1"/>
        <w:pBdr>
          <w:left w:val="single" w:color="1565c0" w:sz="24"/>
        </w:pBdr>
        <w:shd w:val="clear" w:fill="f5f7fa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1" w:name="section-1"/>
      <w:r>
        <w:rPr>
          <w:rFonts w:hint="eastAsia" w:ascii="SimHei" w:hAnsi="SimHei" w:eastAsia="SimHei" w:cs="SimHei"/>
          <w:b w:val="1"/>
          <w:color w:val="00897b"/>
          <w:sz w:val="28"/>
        </w:rPr>
        <w:t>摘要</w:t>
      </w:r>
      <w:bookmarkEnd w:id="1"/>
    </w:p>
    <w:p w14:paraId="656D1ADB">
      <w:pPr>
        <w:pBdr>
          <w:left w:val="single" w:color="1565c0" w:sz="24"/>
        </w:pBdr>
        <w:shd w:val="clear" w:fill="f5f7fa"/>
        <w:spacing w:before="24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本方案面向两类客户：一类是希望借助AI开启轻资产创业的个人与小团队，另一类是希望通过AI降低成本、提升效率、重构获客和服务流程的企业。项目采用“三级服务包 + 场景工具包 + 行业组合包”的产品体系，将一次性项目、持续顾问和年度会员组合起来，形成可标准化销售、可分阶段交付、可持续复购的业务模型。</w:t>
      </w:r>
    </w:p>
    <w:p w14:paraId="1A2F3BA0">
      <w:pPr>
        <w:pBdr>
          <w:left w:val="single" w:color="1565c0" w:sz="24"/>
        </w:pBdr>
        <w:shd w:val="clear" w:fill="f5f7fa"/>
        <w:spacing w:before="24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三级服务包分别解决三个核心问题：基础型解决“学不会、不会选”，陪跑型解决“有方向、落不下去”，托管型解决“有想法、没有团队”。场景工具包则将客户需求拆分为可以单独报价和验收的产品，包括AI小程序与网站、AI客服、语音克隆与数字人、短视频AI混剪、AI商业视觉、企业知识库、办公自动化、私域营销、数据分析等。</w:t>
      </w:r>
    </w:p>
    <w:p w14:paraId="65AC0BAC">
      <w:pPr>
        <w:pBdr>
          <w:left w:val="single" w:color="1565c0" w:sz="24"/>
        </w:pBdr>
        <w:shd w:val="clear" w:fill="f5f7fa"/>
        <w:spacing w:before="24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中的所有价格均为建议销售价，以人民币计价，便于创业初期建立标准报价体系。最终合同价格应根据数据量、系统接口、账号数量、内容生产数量、实施周期及合规要求确认。第三方模型调用费、短信费、云资源费、域名与备案费、平台会员费、广告投放费原则上由客户另行承担或按实结算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1565c0" w:sz="24"/>
              <w:bottom w:val="none" w:sz="8"/>
              <w:right w:val="none" w:sz="8"/>
            </w:tcBorders>
            <w:shd w:val="clear" w:fill="f5f7fa"/>
            <w:vAlign w:val="center"/>
          </w:tcPr>
          <w:p w14:paraId="0DEA519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参考说明：截至2026年10月20日，参考网站 https://ai.lebozhe.com/ 的公开未登录页面主要展示“AI生成图片”，并明确出现“角色、商品、场景”三个方向，未公开价格和完整工具清单。本方案将这三个方向纳入“AI商业视觉工具包”，其余工具包依据企业AI化的常见业务链路补充设计；本方案价格不代表参考网站报价。</w:t>
            </w:r>
          </w:p>
        </w:tc>
      </w:tr>
    </w:tbl>
    <w:p w14:paraId="48A53600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2" w:name="section-2"/>
      <w:r>
        <w:rPr>
          <w:rFonts w:hint="eastAsia" w:ascii="SimHei" w:hAnsi="SimHei" w:eastAsia="SimHei" w:cs="SimHei"/>
          <w:b w:val="1"/>
          <w:color w:val="00897b"/>
          <w:sz w:val="28"/>
        </w:rPr>
        <w:t>一、项目定位与发展目标</w:t>
      </w:r>
      <w:bookmarkEnd w:id="2"/>
    </w:p>
    <w:p w14:paraId="5B4D6F96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" w:name="subsection-1"/>
      <w:r>
        <w:rPr>
          <w:rFonts w:hint="eastAsia" w:ascii="SimHei" w:hAnsi="SimHei" w:eastAsia="SimHei" w:cs="SimHei"/>
          <w:b w:val="1"/>
          <w:color w:val="212121"/>
          <w:sz w:val="24"/>
        </w:rPr>
        <w:t>1.1 项目定位</w:t>
      </w:r>
      <w:bookmarkEnd w:id="3"/>
    </w:p>
    <w:p w14:paraId="7D30838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项目定位为“一站式AI创业与企业智能化落地服务商”，不单纯销售课程，也不单纯承接软件开发，而是把AI工具、培训、咨询、实施与运营组合为连续服务。</w:t>
      </w:r>
    </w:p>
    <w:p w14:paraId="2F7C109C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核心价值主张如下：</w:t>
      </w:r>
    </w:p>
    <w:p w14:paraId="35F186B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让个人低门槛创业</w:t>
      </w:r>
      <w:r>
        <w:rPr>
          <w:rFonts w:hint="eastAsia" w:ascii="SimSun" w:hAnsi="SimSun" w:eastAsia="SimSun" w:cs="SimSun"/>
          <w:color w:val="212121"/>
          <w:sz w:val="24"/>
        </w:rPr>
        <w:t>：用成熟工具、行业模板和陪跑机制，降低技术、产品和获客门槛。</w:t>
      </w:r>
    </w:p>
    <w:p w14:paraId="1CF9A93A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让企业低风险转型</w:t>
      </w:r>
      <w:r>
        <w:rPr>
          <w:rFonts w:hint="eastAsia" w:ascii="SimSun" w:hAnsi="SimSun" w:eastAsia="SimSun" w:cs="SimSun"/>
          <w:color w:val="212121"/>
          <w:sz w:val="24"/>
        </w:rPr>
        <w:t>：先诊断、后试点，再扩大投入，避免一次性采购大量工具却无法落地。</w:t>
      </w:r>
    </w:p>
    <w:p w14:paraId="352F425A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让方案可衡量</w:t>
      </w:r>
      <w:r>
        <w:rPr>
          <w:rFonts w:hint="eastAsia" w:ascii="SimSun" w:hAnsi="SimSun" w:eastAsia="SimSun" w:cs="SimSun"/>
          <w:color w:val="212121"/>
          <w:sz w:val="24"/>
        </w:rPr>
        <w:t>：每个项目明确目标、交付物、验收口径和复盘指标。</w:t>
      </w:r>
    </w:p>
    <w:p w14:paraId="624B080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让客户可升级</w:t>
      </w:r>
      <w:r>
        <w:rPr>
          <w:rFonts w:hint="eastAsia" w:ascii="SimSun" w:hAnsi="SimSun" w:eastAsia="SimSun" w:cs="SimSun"/>
          <w:color w:val="212121"/>
          <w:sz w:val="24"/>
        </w:rPr>
        <w:t>：客户可以从基础型起步，逐步升级到陪跑型或托管型，无需一次性承担高额投入。</w:t>
      </w:r>
    </w:p>
    <w:p w14:paraId="59E5CEFD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" w:name="subsection-2"/>
      <w:r>
        <w:rPr>
          <w:rFonts w:hint="eastAsia" w:ascii="SimHei" w:hAnsi="SimHei" w:eastAsia="SimHei" w:cs="SimHei"/>
          <w:b w:val="1"/>
          <w:color w:val="212121"/>
          <w:sz w:val="24"/>
        </w:rPr>
        <w:t>1.2 三阶段发展目标</w:t>
      </w:r>
      <w:bookmarkEnd w:id="4"/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EC9503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阶段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7942E7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时间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026BF2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核心目标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D67A83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关键成果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7B79F5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验证期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210F6F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0—3个月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23D05D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完成产品标准化并获得首批付费客户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D48DB7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三级服务包、10个以上工具包、3个样板案例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6026B9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复制期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281EB3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4—6个月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BFF00E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建立稳定获客和交付流程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1553E4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官网、内容矩阵、转介绍机制、交付SOP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A1428B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放大期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8550CA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7—12个月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4CBCF9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形成行业组合包和合作伙伴网络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981EE9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5个行业方案、渠道合作、年度托管客户</w:t>
            </w:r>
          </w:p>
        </w:tc>
      </w:tr>
    </w:tbl>
    <w:p w14:paraId="229E3DA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" w:name="subsection-3"/>
      <w:r>
        <w:rPr>
          <w:rFonts w:hint="eastAsia" w:ascii="SimHei" w:hAnsi="SimHei" w:eastAsia="SimHei" w:cs="SimHei"/>
          <w:b w:val="1"/>
          <w:color w:val="212121"/>
          <w:sz w:val="24"/>
        </w:rPr>
        <w:t>1.3 核心经营原则</w:t>
      </w:r>
      <w:bookmarkEnd w:id="5"/>
    </w:p>
    <w:p w14:paraId="7B5DB32A">
      <w:pPr>
        <w:numPr>
          <w:ilvl w:val="0"/>
          <w:numId w:val="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先场景、后工具</w:t>
      </w:r>
      <w:r>
        <w:rPr>
          <w:rFonts w:hint="eastAsia" w:ascii="SimSun" w:hAnsi="SimSun" w:eastAsia="SimSun" w:cs="SimSun"/>
          <w:color w:val="212121"/>
          <w:sz w:val="24"/>
        </w:rPr>
        <w:t>：先确认客户业务问题，再决定使用哪个模型和软件。</w:t>
      </w:r>
    </w:p>
    <w:p w14:paraId="3B745115">
      <w:pPr>
        <w:numPr>
          <w:ilvl w:val="0"/>
          <w:numId w:val="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先试点、后扩展</w:t>
      </w:r>
      <w:r>
        <w:rPr>
          <w:rFonts w:hint="eastAsia" w:ascii="SimSun" w:hAnsi="SimSun" w:eastAsia="SimSun" w:cs="SimSun"/>
          <w:color w:val="212121"/>
          <w:sz w:val="24"/>
        </w:rPr>
        <w:t>：优先选择一个高频、低风险、可量化的场景做最小可行项目。</w:t>
      </w:r>
    </w:p>
    <w:p w14:paraId="48CD10F2">
      <w:pPr>
        <w:numPr>
          <w:ilvl w:val="0"/>
          <w:numId w:val="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标准产品、定制交付</w:t>
      </w:r>
      <w:r>
        <w:rPr>
          <w:rFonts w:hint="eastAsia" w:ascii="SimSun" w:hAnsi="SimSun" w:eastAsia="SimSun" w:cs="SimSun"/>
          <w:color w:val="212121"/>
          <w:sz w:val="24"/>
        </w:rPr>
        <w:t>：报价、流程和验收标准尽量标准化，方案组合和数据接入保留定制空间。</w:t>
      </w:r>
    </w:p>
    <w:p w14:paraId="33D5737E">
      <w:pPr>
        <w:numPr>
          <w:ilvl w:val="0"/>
          <w:numId w:val="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培训与系统并重</w:t>
      </w:r>
      <w:r>
        <w:rPr>
          <w:rFonts w:hint="eastAsia" w:ascii="SimSun" w:hAnsi="SimSun" w:eastAsia="SimSun" w:cs="SimSun"/>
          <w:color w:val="212121"/>
          <w:sz w:val="24"/>
        </w:rPr>
        <w:t>：系统上线不等于转型完成，必须同时解决人员使用、流程调整和持续运营。</w:t>
      </w:r>
    </w:p>
    <w:p w14:paraId="5F8E11D0">
      <w:pPr>
        <w:numPr>
          <w:ilvl w:val="0"/>
          <w:numId w:val="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合规优先</w:t>
      </w:r>
      <w:r>
        <w:rPr>
          <w:rFonts w:hint="eastAsia" w:ascii="SimSun" w:hAnsi="SimSun" w:eastAsia="SimSun" w:cs="SimSun"/>
          <w:color w:val="212121"/>
          <w:sz w:val="24"/>
        </w:rPr>
        <w:t>：涉及人脸、声音、客户数据、企业知识和内容版权时，先取得授权并明确使用边界。</w:t>
      </w:r>
    </w:p>
    <w:p w14:paraId="352C4C26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6" w:name="section-3"/>
      <w:r>
        <w:rPr>
          <w:rFonts w:hint="eastAsia" w:ascii="SimHei" w:hAnsi="SimHei" w:eastAsia="SimHei" w:cs="SimHei"/>
          <w:b w:val="1"/>
          <w:color w:val="00897b"/>
          <w:sz w:val="28"/>
        </w:rPr>
        <w:t>二、目标客户与需求分层</w:t>
      </w:r>
      <w:bookmarkEnd w:id="6"/>
    </w:p>
    <w:p w14:paraId="0893B67D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7" w:name="subsection-4"/>
      <w:r>
        <w:rPr>
          <w:rFonts w:hint="eastAsia" w:ascii="SimHei" w:hAnsi="SimHei" w:eastAsia="SimHei" w:cs="SimHei"/>
          <w:b w:val="1"/>
          <w:color w:val="212121"/>
          <w:sz w:val="24"/>
        </w:rPr>
        <w:t>2.1 主要客户画像</w:t>
      </w:r>
      <w:bookmarkEnd w:id="7"/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CB379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客户类型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0217B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典型特征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94D669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核心痛点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39DC6E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推荐入口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3860E7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AI创业个人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7372C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有行业经验或内容能力，但缺产品与技术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4392BA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工具太多、方向不清、难以变现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2AFC3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基础型或陪跑型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263B83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小微企业主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7EDB9F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团队5—30人，预算有限，老板亲自决策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B6F90B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获客贵、内容慢、客服重复、人员效率低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626FFD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陪跑型 + 1—2个工具包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75B85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成长型企业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BA2F61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已有业务系统和稳定团队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270B88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数据分散、流程复杂、跨部门协作低效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265901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陪跑型或托管型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434546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连锁与门店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CEF725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多门店、多账号、多客服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E861D5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内容不统一、线索分散、复购不足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ECD07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私域营销 + 客服 + 内容工具包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C82388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专业服务机构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E5AA71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咨询、财税、法律、人力、教育等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526A4F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知识依赖个人、交付难复制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C27E5C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企业知识库 + AI客服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88EFC7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制造与B2B企业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32DDA2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产品复杂、销售周期长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333CB0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资料检索慢、方案制作慢、售前重复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57C58A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知识库 + 销售助手 + 官网</w:t>
            </w:r>
          </w:p>
        </w:tc>
      </w:tr>
    </w:tbl>
    <w:p w14:paraId="5A35353F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8" w:name="subsection-5"/>
      <w:r>
        <w:rPr>
          <w:rFonts w:hint="eastAsia" w:ascii="SimHei" w:hAnsi="SimHei" w:eastAsia="SimHei" w:cs="SimHei"/>
          <w:b w:val="1"/>
          <w:color w:val="212121"/>
          <w:sz w:val="24"/>
        </w:rPr>
        <w:t>2.2 客户需求成熟度</w:t>
      </w:r>
      <w:bookmarkEnd w:id="8"/>
    </w:p>
    <w:p w14:paraId="5D35E7A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认知阶段</w:t>
      </w:r>
      <w:r>
        <w:rPr>
          <w:rFonts w:hint="eastAsia" w:ascii="SimSun" w:hAnsi="SimSun" w:eastAsia="SimSun" w:cs="SimSun"/>
          <w:color w:val="212121"/>
          <w:sz w:val="24"/>
        </w:rPr>
        <w:t>：不知道AI能做什么，需要课程、案例、工具地图和基础诊断。</w:t>
      </w:r>
    </w:p>
    <w:p w14:paraId="0430F5B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试点阶段</w:t>
      </w:r>
      <w:r>
        <w:rPr>
          <w:rFonts w:hint="eastAsia" w:ascii="SimSun" w:hAnsi="SimSun" w:eastAsia="SimSun" w:cs="SimSun"/>
          <w:color w:val="212121"/>
          <w:sz w:val="24"/>
        </w:rPr>
        <w:t>：已经有明确场景，需要1对1方案、原型验证和内部培训。</w:t>
      </w:r>
    </w:p>
    <w:p w14:paraId="721053C2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落地阶段</w:t>
      </w:r>
      <w:r>
        <w:rPr>
          <w:rFonts w:hint="eastAsia" w:ascii="SimSun" w:hAnsi="SimSun" w:eastAsia="SimSun" w:cs="SimSun"/>
          <w:color w:val="212121"/>
          <w:sz w:val="24"/>
        </w:rPr>
        <w:t>：需要系统建设、数据接入、流程改造、上线验收。</w:t>
      </w:r>
    </w:p>
    <w:p w14:paraId="1B94659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运营阶段</w:t>
      </w:r>
      <w:r>
        <w:rPr>
          <w:rFonts w:hint="eastAsia" w:ascii="SimSun" w:hAnsi="SimSun" w:eastAsia="SimSun" w:cs="SimSun"/>
          <w:color w:val="212121"/>
          <w:sz w:val="24"/>
        </w:rPr>
        <w:t>：需要持续内容生产、模型优化、知识库维护和效果复盘。</w:t>
      </w:r>
    </w:p>
    <w:p w14:paraId="0B822D1F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9" w:name="section-4"/>
      <w:r>
        <w:rPr>
          <w:rFonts w:hint="eastAsia" w:ascii="SimHei" w:hAnsi="SimHei" w:eastAsia="SimHei" w:cs="SimHei"/>
          <w:b w:val="1"/>
          <w:color w:val="00897b"/>
          <w:sz w:val="28"/>
        </w:rPr>
        <w:t>三、产品总体架构</w:t>
      </w:r>
      <w:bookmarkEnd w:id="9"/>
    </w:p>
    <w:p w14:paraId="62DCC6D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项目采用“1个会员入口、3级服务深度、12类场景工具包、多个行业组合包”的架构。</w:t>
      </w:r>
    </w:p>
    <w:p w14:paraId="6C490429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会员入口</w:t>
      </w:r>
      <w:r>
        <w:rPr>
          <w:rFonts w:hint="eastAsia" w:ascii="SimSun" w:hAnsi="SimSun" w:eastAsia="SimSun" w:cs="SimSun"/>
          <w:color w:val="212121"/>
          <w:sz w:val="24"/>
        </w:rPr>
        <w:t>：以基础型服务吸引和筛选客户，建立信任和持续触达。</w:t>
      </w:r>
    </w:p>
    <w:p w14:paraId="4BA94AE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服务深度</w:t>
      </w:r>
      <w:r>
        <w:rPr>
          <w:rFonts w:hint="eastAsia" w:ascii="SimSun" w:hAnsi="SimSun" w:eastAsia="SimSun" w:cs="SimSun"/>
          <w:color w:val="212121"/>
          <w:sz w:val="24"/>
        </w:rPr>
        <w:t>：基础型、陪跑型、托管型分别对应学习自助、顾问共创、团队代交付。</w:t>
      </w:r>
    </w:p>
    <w:p w14:paraId="741FB13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场景产品</w:t>
      </w:r>
      <w:r>
        <w:rPr>
          <w:rFonts w:hint="eastAsia" w:ascii="SimSun" w:hAnsi="SimSun" w:eastAsia="SimSun" w:cs="SimSun"/>
          <w:color w:val="212121"/>
          <w:sz w:val="24"/>
        </w:rPr>
        <w:t>：将客户需求拆分为可购买、可交付、可验收的工具包。</w:t>
      </w:r>
    </w:p>
    <w:p w14:paraId="7E82F80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行业方案</w:t>
      </w:r>
      <w:r>
        <w:rPr>
          <w:rFonts w:hint="eastAsia" w:ascii="SimSun" w:hAnsi="SimSun" w:eastAsia="SimSun" w:cs="SimSun"/>
          <w:color w:val="212121"/>
          <w:sz w:val="24"/>
        </w:rPr>
        <w:t>：按行业把多个工具包组合，降低客户理解和决策成本。</w:t>
      </w:r>
    </w:p>
    <w:p w14:paraId="6CC6F86C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三级服务包解决“服务方式与参与深度”，工具包解决“具体要做什么”。客户既可单独购买工具包，也可将工具包纳入陪跑型或托管型项目。</w:t>
      </w:r>
    </w:p>
    <w:p w14:paraId="17023230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10" w:name="section-5"/>
      <w:r>
        <w:rPr>
          <w:rFonts w:hint="eastAsia" w:ascii="SimHei" w:hAnsi="SimHei" w:eastAsia="SimHei" w:cs="SimHei"/>
          <w:b w:val="1"/>
          <w:color w:val="00897b"/>
          <w:sz w:val="28"/>
        </w:rPr>
        <w:t>四、三级服务包设计与定价</w:t>
      </w:r>
      <w:bookmarkEnd w:id="10"/>
    </w:p>
    <w:p w14:paraId="0E5B356E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1" w:name="subsection-6"/>
      <w:r>
        <w:rPr>
          <w:rFonts w:hint="eastAsia" w:ascii="SimHei" w:hAnsi="SimHei" w:eastAsia="SimHei" w:cs="SimHei"/>
          <w:b w:val="1"/>
          <w:color w:val="212121"/>
          <w:sz w:val="24"/>
        </w:rPr>
        <w:t>4.1 基础型：AI工具学习与自助落地会员</w:t>
      </w:r>
      <w:bookmarkEnd w:id="11"/>
    </w:p>
    <w:p w14:paraId="3ACCA869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定位</w:t>
      </w:r>
      <w:r>
        <w:rPr>
          <w:rFonts w:hint="eastAsia" w:ascii="SimSun" w:hAnsi="SimSun" w:eastAsia="SimSun" w:cs="SimSun"/>
          <w:color w:val="212121"/>
          <w:sz w:val="24"/>
        </w:rPr>
        <w:t>：让客户用较低成本完成AI认知升级、工具选型和基础应用，适合作为流量产品与长期会员产品。</w:t>
      </w:r>
    </w:p>
    <w:p w14:paraId="0ABD6CBA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建议价格</w:t>
      </w:r>
      <w:r>
        <w:rPr>
          <w:rFonts w:hint="eastAsia" w:ascii="SimSun" w:hAnsi="SimSun" w:eastAsia="SimSun" w:cs="SimSun"/>
          <w:color w:val="212121"/>
          <w:sz w:val="24"/>
        </w:rPr>
        <w:t xml:space="preserve">：个人版 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¥2,999/年</w:t>
      </w:r>
      <w:r>
        <w:rPr>
          <w:rFonts w:hint="eastAsia" w:ascii="SimSun" w:hAnsi="SimSun" w:eastAsia="SimSun" w:cs="SimSun"/>
          <w:color w:val="212121"/>
          <w:sz w:val="24"/>
        </w:rPr>
        <w:t xml:space="preserve">；企业学习版 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¥12,800/年</w:t>
      </w:r>
      <w:r>
        <w:rPr>
          <w:rFonts w:hint="eastAsia" w:ascii="SimSun" w:hAnsi="SimSun" w:eastAsia="SimSun" w:cs="SimSun"/>
          <w:color w:val="212121"/>
          <w:sz w:val="24"/>
        </w:rPr>
        <w:t>，含5个学习账号。新增账号建议按¥1,500/人/年计费。</w:t>
      </w:r>
    </w:p>
    <w:p w14:paraId="54BC8F0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适用对象</w:t>
      </w:r>
      <w:r>
        <w:rPr>
          <w:rFonts w:hint="eastAsia" w:ascii="SimSun" w:hAnsi="SimSun" w:eastAsia="SimSun" w:cs="SimSun"/>
          <w:color w:val="212121"/>
          <w:sz w:val="24"/>
        </w:rPr>
        <w:t>：AI初学者、自由职业者、创业准备期个人、小微企业负责人及希望先学习再投入的企业团队。</w:t>
      </w:r>
    </w:p>
    <w:p w14:paraId="6B625E7C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核心权益</w:t>
      </w:r>
      <w:r>
        <w:rPr>
          <w:rFonts w:hint="eastAsia" w:ascii="SimSun" w:hAnsi="SimSun" w:eastAsia="SimSun" w:cs="SimSun"/>
          <w:color w:val="212121"/>
          <w:sz w:val="24"/>
        </w:rPr>
        <w:t>：</w:t>
      </w:r>
    </w:p>
    <w:p w14:paraId="14D56D4A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100节以上AI办公、内容、营销、客服和创业工具视频课程。</w:t>
      </w:r>
    </w:p>
    <w:p w14:paraId="24EC8BE7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主流AI工具地图、账号开通指南、成本对比和使用建议。</w:t>
      </w:r>
    </w:p>
    <w:p w14:paraId="7E02C29A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500条以上岗位提示词模板与常用工作流模板。</w:t>
      </w:r>
    </w:p>
    <w:p w14:paraId="19E2B663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每月更新课程、工具清单和优秀案例。</w:t>
      </w:r>
    </w:p>
    <w:p w14:paraId="1F865F7B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每周一次公开直播答疑或案例拆解。</w:t>
      </w:r>
    </w:p>
    <w:p w14:paraId="1D7FE77B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创业者社群、资源对接和需求交流。</w:t>
      </w:r>
    </w:p>
    <w:p w14:paraId="76BDB506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每月一次工具选型图文咨询，单次不超过30分钟。</w:t>
      </w:r>
    </w:p>
    <w:p w14:paraId="45BB6360">
      <w:pPr>
        <w:numPr>
          <w:ilvl w:val="0"/>
          <w:numId w:val="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可按会员价购买场景工具包，建议享受标准价95折。</w:t>
      </w:r>
    </w:p>
    <w:p w14:paraId="79264DE7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交付标准</w:t>
      </w:r>
      <w:r>
        <w:rPr>
          <w:rFonts w:hint="eastAsia" w:ascii="SimSun" w:hAnsi="SimSun" w:eastAsia="SimSun" w:cs="SimSun"/>
          <w:color w:val="212121"/>
          <w:sz w:val="24"/>
        </w:rPr>
        <w:t>：开通学习账号、交付课程目录和工具导航、加入服务社群、提供首次学习路径建议。</w:t>
      </w:r>
    </w:p>
    <w:p w14:paraId="15EDC079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服务边界</w:t>
      </w:r>
      <w:r>
        <w:rPr>
          <w:rFonts w:hint="eastAsia" w:ascii="SimSun" w:hAnsi="SimSun" w:eastAsia="SimSun" w:cs="SimSun"/>
          <w:color w:val="212121"/>
          <w:sz w:val="24"/>
        </w:rPr>
        <w:t>：不包含1对1方案设计、系统开发、数据整理、账号代运营和现场培训。第三方工具会员费用不包含在会员费内。</w:t>
      </w:r>
    </w:p>
    <w:p w14:paraId="5A49328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销售话术</w:t>
      </w:r>
      <w:r>
        <w:rPr>
          <w:rFonts w:hint="eastAsia" w:ascii="SimSun" w:hAnsi="SimSun" w:eastAsia="SimSun" w:cs="SimSun"/>
          <w:color w:val="212121"/>
          <w:sz w:val="24"/>
        </w:rPr>
        <w:t>：不是先买一堆工具，而是先用一年时间建立正确的AI能力地图；通过课程、模板和答疑，避免反复试错。</w:t>
      </w:r>
    </w:p>
    <w:p w14:paraId="731011E9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2" w:name="subsection-7"/>
      <w:r>
        <w:rPr>
          <w:rFonts w:hint="eastAsia" w:ascii="SimHei" w:hAnsi="SimHei" w:eastAsia="SimHei" w:cs="SimHei"/>
          <w:b w:val="1"/>
          <w:color w:val="212121"/>
          <w:sz w:val="24"/>
        </w:rPr>
        <w:t>4.2 陪跑型：1对1共创与AI化转型陪跑</w:t>
      </w:r>
      <w:bookmarkEnd w:id="12"/>
    </w:p>
    <w:p w14:paraId="6F11ED0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定位</w:t>
      </w:r>
      <w:r>
        <w:rPr>
          <w:rFonts w:hint="eastAsia" w:ascii="SimSun" w:hAnsi="SimSun" w:eastAsia="SimSun" w:cs="SimSun"/>
          <w:color w:val="212121"/>
          <w:sz w:val="24"/>
        </w:rPr>
        <w:t>：由顾问与客户共同完成诊断、方案、试点和复盘，客户团队参与执行，顾问负责路径设计、工具配置和关键节点把关。</w:t>
      </w:r>
    </w:p>
    <w:p w14:paraId="31BF7D1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建议价格</w:t>
      </w:r>
      <w:r>
        <w:rPr>
          <w:rFonts w:hint="eastAsia" w:ascii="SimSun" w:hAnsi="SimSun" w:eastAsia="SimSun" w:cs="SimSun"/>
          <w:color w:val="212121"/>
          <w:sz w:val="24"/>
        </w:rPr>
        <w:t>：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¥29,800/季度</w:t>
      </w:r>
      <w:r>
        <w:rPr>
          <w:rFonts w:hint="eastAsia" w:ascii="SimSun" w:hAnsi="SimSun" w:eastAsia="SimSun" w:cs="SimSun"/>
          <w:color w:val="212121"/>
          <w:sz w:val="24"/>
        </w:rPr>
        <w:t xml:space="preserve">，服务周期3个月；年度陪跑建议价 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¥98,000/年</w:t>
      </w:r>
      <w:r>
        <w:rPr>
          <w:rFonts w:hint="eastAsia" w:ascii="SimSun" w:hAnsi="SimSun" w:eastAsia="SimSun" w:cs="SimSun"/>
          <w:color w:val="212121"/>
          <w:sz w:val="24"/>
        </w:rPr>
        <w:t>。季度套餐适合作为主推产品，年度套餐适合企业持续转型。</w:t>
      </w:r>
    </w:p>
    <w:p w14:paraId="338DA6C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适用对象</w:t>
      </w:r>
      <w:r>
        <w:rPr>
          <w:rFonts w:hint="eastAsia" w:ascii="SimSun" w:hAnsi="SimSun" w:eastAsia="SimSun" w:cs="SimSun"/>
          <w:color w:val="212121"/>
          <w:sz w:val="24"/>
        </w:rPr>
        <w:t>：有明确业务目标但缺乏方法的创业团队、小微企业、部门级AI试点团队及需要提升落地成功率的企业负责人。</w:t>
      </w:r>
    </w:p>
    <w:p w14:paraId="46DDB54D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核心权益</w:t>
      </w:r>
      <w:r>
        <w:rPr>
          <w:rFonts w:hint="eastAsia" w:ascii="SimSun" w:hAnsi="SimSun" w:eastAsia="SimSun" w:cs="SimSun"/>
          <w:color w:val="212121"/>
          <w:sz w:val="24"/>
        </w:rPr>
        <w:t>：</w:t>
      </w:r>
    </w:p>
    <w:p w14:paraId="74AE5A14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包含基础型全部权益，服务期内开放企业学习账号5个。</w:t>
      </w:r>
    </w:p>
    <w:p w14:paraId="40AB5498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一次90分钟业务诊断，梳理目标、流程、数据、人员和预算。</w:t>
      </w:r>
    </w:p>
    <w:p w14:paraId="3A4959C3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一份量身定制的《AI创业或企业AI化路线图》。</w:t>
      </w:r>
    </w:p>
    <w:p w14:paraId="4B879FBE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每周一次60分钟1对1顾问会议，复盘进度并解决卡点。</w:t>
      </w:r>
    </w:p>
    <w:p w14:paraId="6902911C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一个核心业务场景的最小可行项目设计，包括工具选型、流程图和验收指标。</w:t>
      </w:r>
    </w:p>
    <w:p w14:paraId="1FB5C44D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常用AI工具配置指导、提示词设计和工作流搭建建议。</w:t>
      </w:r>
    </w:p>
    <w:p w14:paraId="7BE622A6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一次团队培训或工作坊，线上2小时以内。</w:t>
      </w:r>
    </w:p>
    <w:p w14:paraId="476D4012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每月一份进度复盘，包含完成事项、问题、下阶段动作和风险。</w:t>
      </w:r>
    </w:p>
    <w:p w14:paraId="659D4F45">
      <w:pPr>
        <w:numPr>
          <w:ilvl w:val="0"/>
          <w:numId w:val="4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工具包采购建议享受标准价9折；同一季度购买多个工具包可申请组合报价。</w:t>
      </w:r>
    </w:p>
    <w:p w14:paraId="7BDC6EF1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标准交付节奏</w:t>
      </w:r>
      <w:r>
        <w:rPr>
          <w:rFonts w:hint="eastAsia" w:ascii="SimSun" w:hAnsi="SimSun" w:eastAsia="SimSun" w:cs="SimSun"/>
          <w:color w:val="212121"/>
          <w:sz w:val="24"/>
        </w:rPr>
        <w:t>：</w:t>
      </w:r>
    </w:p>
    <w:p w14:paraId="3E8785E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第1—2周：诊断与目标确认。</w:t>
      </w:r>
    </w:p>
    <w:p w14:paraId="343D830A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第3—4周：路线图、工具选型与试点设计。</w:t>
      </w:r>
    </w:p>
    <w:p w14:paraId="534BDA6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第5—8周：客户执行、顾问辅导、流程调整。</w:t>
      </w:r>
    </w:p>
    <w:p w14:paraId="6459FDC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第9—11周：试点验收、人员培训、文档沉淀。</w:t>
      </w:r>
    </w:p>
    <w:p w14:paraId="4F1F7EE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第12周：复盘与下一阶段计划。</w:t>
      </w:r>
    </w:p>
    <w:p w14:paraId="284DD43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服务边界</w:t>
      </w:r>
      <w:r>
        <w:rPr>
          <w:rFonts w:hint="eastAsia" w:ascii="SimSun" w:hAnsi="SimSun" w:eastAsia="SimSun" w:cs="SimSun"/>
          <w:color w:val="212121"/>
          <w:sz w:val="24"/>
        </w:rPr>
        <w:t>：顾问参与方案和关键配置，但不替代客户完成全部内容生产、数据清洗、系统开发和日常运营。需要代交付的工作按工具包或托管型项目另行报价。</w:t>
      </w:r>
    </w:p>
    <w:p w14:paraId="1154B1A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验收指标示例</w:t>
      </w:r>
      <w:r>
        <w:rPr>
          <w:rFonts w:hint="eastAsia" w:ascii="SimSun" w:hAnsi="SimSun" w:eastAsia="SimSun" w:cs="SimSun"/>
          <w:color w:val="212121"/>
          <w:sz w:val="24"/>
        </w:rPr>
        <w:t>：试点场景上线、目标岗位完成培训、关键流程形成操作手册、客户团队可独立完成日常使用。</w:t>
      </w:r>
    </w:p>
    <w:p w14:paraId="0982B744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3" w:name="subsection-8"/>
      <w:r>
        <w:rPr>
          <w:rFonts w:hint="eastAsia" w:ascii="SimHei" w:hAnsi="SimHei" w:eastAsia="SimHei" w:cs="SimHei"/>
          <w:b w:val="1"/>
          <w:color w:val="212121"/>
          <w:sz w:val="24"/>
        </w:rPr>
        <w:t>4.3 托管型：从想法到上线的全流程代交付</w:t>
      </w:r>
      <w:bookmarkEnd w:id="13"/>
    </w:p>
    <w:p w14:paraId="7BCC4A26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定位</w:t>
      </w:r>
      <w:r>
        <w:rPr>
          <w:rFonts w:hint="eastAsia" w:ascii="SimSun" w:hAnsi="SimSun" w:eastAsia="SimSun" w:cs="SimSun"/>
          <w:color w:val="212121"/>
          <w:sz w:val="24"/>
        </w:rPr>
        <w:t>：客户提出目标并提供必要资料，本方负责从项目策划、产品设计、工具选型、内容与系统制作到上线验收的全流程项目管理与交付。</w:t>
      </w:r>
    </w:p>
    <w:p w14:paraId="315B74F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建议价格</w:t>
      </w:r>
      <w:r>
        <w:rPr>
          <w:rFonts w:hint="eastAsia" w:ascii="SimSun" w:hAnsi="SimSun" w:eastAsia="SimSun" w:cs="SimSun"/>
          <w:color w:val="212121"/>
          <w:sz w:val="24"/>
        </w:rPr>
        <w:t>：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¥98,000/项目起</w:t>
      </w:r>
      <w:r>
        <w:rPr>
          <w:rFonts w:hint="eastAsia" w:ascii="SimSun" w:hAnsi="SimSun" w:eastAsia="SimSun" w:cs="SimSun"/>
          <w:color w:val="212121"/>
          <w:sz w:val="24"/>
        </w:rPr>
        <w:t xml:space="preserve">，标准周期8—12周；复杂项目建议按 </w:t>
      </w:r>
      <w:r>
        <w:rPr>
          <w:rFonts w:ascii="SimSun" w:hAnsi="SimSun" w:eastAsia="SimSun" w:cs="SimSun"/>
          <w:b w:val="1"/>
          <w:color w:val="212121"/>
          <w:sz w:val="24"/>
        </w:rPr>
        <w:t>¥198,000—</w:t>
      </w:r>
      <w:r>
        <w:rPr>
          <w:rFonts w:hint="eastAsia" w:ascii="SimSun" w:hAnsi="SimSun" w:eastAsia="SimSun" w:cs="SimSun"/>
          <w:b w:val="1"/>
          <w:color w:val="c62828"/>
          <w:sz w:val="24"/>
        </w:rPr>
        <w:t>¥498,000/项目</w:t>
      </w:r>
      <w:r>
        <w:rPr>
          <w:rFonts w:hint="eastAsia" w:ascii="SimSun" w:hAnsi="SimSun" w:eastAsia="SimSun" w:cs="SimSun"/>
          <w:color w:val="212121"/>
          <w:sz w:val="24"/>
        </w:rPr>
        <w:t xml:space="preserve"> 报价。年度托管建议价 </w:t>
      </w:r>
      <w:r>
        <w:rPr>
          <w:rFonts w:hint="eastAsia" w:ascii="SimSun" w:hAnsi="SimSun" w:eastAsia="SimSun" w:cs="SimSun"/>
          <w:b w:val="1"/>
          <w:color w:val="212121"/>
          <w:sz w:val="24"/>
        </w:rPr>
        <w:t>¥298,000/年起</w:t>
      </w:r>
      <w:r>
        <w:rPr>
          <w:rFonts w:hint="eastAsia" w:ascii="SimSun" w:hAnsi="SimSun" w:eastAsia="SimSun" w:cs="SimSun"/>
          <w:color w:val="212121"/>
          <w:sz w:val="24"/>
        </w:rPr>
        <w:t>，适合需要持续迭代和运营的企业。</w:t>
      </w:r>
    </w:p>
    <w:p w14:paraId="74DE0B7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适用对象</w:t>
      </w:r>
      <w:r>
        <w:rPr>
          <w:rFonts w:hint="eastAsia" w:ascii="SimSun" w:hAnsi="SimSun" w:eastAsia="SimSun" w:cs="SimSun"/>
          <w:color w:val="212121"/>
          <w:sz w:val="24"/>
        </w:rPr>
        <w:t>：有预算但没有专职AI团队的企业、有明确商业构想但缺产品与技术能力的创业者、希望快速形成标杆项目的组织。</w:t>
      </w:r>
    </w:p>
    <w:p w14:paraId="0169501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核心权益</w:t>
      </w:r>
      <w:r>
        <w:rPr>
          <w:rFonts w:hint="eastAsia" w:ascii="SimSun" w:hAnsi="SimSun" w:eastAsia="SimSun" w:cs="SimSun"/>
          <w:color w:val="212121"/>
          <w:sz w:val="24"/>
        </w:rPr>
        <w:t>：</w:t>
      </w:r>
    </w:p>
    <w:p w14:paraId="4E223DA2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包含基础型和陪跑型全部权益。</w:t>
      </w:r>
    </w:p>
    <w:p w14:paraId="41A236C2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项目经理全程负责计划、沟通、风险和验收。</w:t>
      </w:r>
    </w:p>
    <w:p w14:paraId="366610BD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完成商业与业务需求梳理、产品方案、技术方案和项目排期。</w:t>
      </w:r>
    </w:p>
    <w:p w14:paraId="593DBD1C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完成原型、视觉、内容、工具配置、知识库或系统集成等约定工作。</w:t>
      </w:r>
    </w:p>
    <w:p w14:paraId="5383ABC4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组织内测、问题修复、上线发布和使用培训。</w:t>
      </w:r>
    </w:p>
    <w:p w14:paraId="6891A0A1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提供交付清单、操作手册、账号清单和维护建议。</w:t>
      </w:r>
    </w:p>
    <w:p w14:paraId="645C310D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上线后30天基础质保，修复合同范围内的功能问题。</w:t>
      </w:r>
    </w:p>
    <w:p w14:paraId="35AB366E">
      <w:pPr>
        <w:numPr>
          <w:ilvl w:val="0"/>
          <w:numId w:val="5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可选购月度运营、内容生产、知识库维护和数据复盘服务。</w:t>
      </w:r>
    </w:p>
    <w:p w14:paraId="62A6E2ED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项目阶段</w:t>
      </w:r>
      <w:r>
        <w:rPr>
          <w:rFonts w:hint="eastAsia" w:ascii="SimSun" w:hAnsi="SimSun" w:eastAsia="SimSun" w:cs="SimSun"/>
          <w:color w:val="212121"/>
          <w:sz w:val="24"/>
        </w:rPr>
        <w:t>：需求冻结、方案评审、原型确认、制作实施、内部测试、客户验收、上线移交。</w:t>
      </w:r>
    </w:p>
    <w:p w14:paraId="2F62672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报价规则</w:t>
      </w:r>
      <w:r>
        <w:rPr>
          <w:rFonts w:hint="eastAsia" w:ascii="SimSun" w:hAnsi="SimSun" w:eastAsia="SimSun" w:cs="SimSun"/>
          <w:color w:val="212121"/>
          <w:sz w:val="24"/>
        </w:rPr>
        <w:t>：托管型基础费用覆盖项目管理和标准交付能力，具体系统开发、接口接入、内容数量、数字人形象、视频数量和数据治理工作按工具包组合核价。</w:t>
      </w:r>
    </w:p>
    <w:p w14:paraId="26B8B3B7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服务边界</w:t>
      </w:r>
      <w:r>
        <w:rPr>
          <w:rFonts w:hint="eastAsia" w:ascii="SimSun" w:hAnsi="SimSun" w:eastAsia="SimSun" w:cs="SimSun"/>
          <w:color w:val="212121"/>
          <w:sz w:val="24"/>
        </w:rPr>
        <w:t>：客户须按时提供合法授权的数据、素材、账号和业务确认；因客户需求变更、第三方平台政策变化或新增接口产生的工作，应通过变更单重新评估费用和排期。</w:t>
      </w:r>
    </w:p>
    <w:p w14:paraId="0BD9AB62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4" w:name="subsection-9"/>
      <w:r>
        <w:rPr>
          <w:rFonts w:hint="eastAsia" w:ascii="SimHei" w:hAnsi="SimHei" w:eastAsia="SimHei" w:cs="SimHei"/>
          <w:b w:val="1"/>
          <w:color w:val="212121"/>
          <w:sz w:val="24"/>
        </w:rPr>
        <w:t>4.4 三级服务包对比</w:t>
      </w:r>
      <w:bookmarkEnd w:id="14"/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6855C9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对比维度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FAD1A1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基础型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467517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陪跑型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D7FA90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托管型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9C6698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核心结果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9F8B1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学会并自主使用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35A677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在顾问指导下完成试点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A835F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由专业团队完成项目上线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503474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参与方式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E5426F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客户自学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2B9DD2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客户执行、顾问共创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95EE17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客户决策、本方代交付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4C7A09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服务周期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DB7F29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B743B9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3个月或1年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DB183A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8—12周或年度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7968A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1对1服务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922CCC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每月图文咨询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6FBF1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每周顾问会议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8CADC3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项目经理全程管理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44A64A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定制方案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CDFEF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不包含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26ED83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包含路线图和试点方案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1FCF0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包含完整项目方案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628FEE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系统与内容制作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1C668B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不包含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A85F55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部分指导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AB09DD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按合同范围完成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33854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建议价格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8EB68C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¥2,999/年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F6963E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¥29,800/季度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790888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¥98,000/项目起</w:t>
            </w:r>
          </w:p>
        </w:tc>
      </w:tr>
    </w:tbl>
    <w:p w14:paraId="71AFAC1C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5" w:name="subsection-10"/>
      <w:r>
        <w:rPr>
          <w:rFonts w:hint="eastAsia" w:ascii="SimHei" w:hAnsi="SimHei" w:eastAsia="SimHei" w:cs="SimHei"/>
          <w:b w:val="1"/>
          <w:color w:val="212121"/>
          <w:sz w:val="24"/>
        </w:rPr>
        <w:t>4.5 升级与组合机制</w:t>
      </w:r>
      <w:bookmarkEnd w:id="15"/>
    </w:p>
    <w:p w14:paraId="094BCFC9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基础型客户在开通后30天内升级陪跑型，可将当年个人基础型费用的80%抵扣一次。</w:t>
      </w:r>
    </w:p>
    <w:p w14:paraId="3586D985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陪跑型客户在服务期内升级托管型，可将未履行的陪跑服务费用折算抵扣。</w:t>
      </w:r>
    </w:p>
    <w:p w14:paraId="09B89356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工具包与陪跑型组合，建议按工具包标准价9折；与托管型组合时按整体项目核价。</w:t>
      </w:r>
    </w:p>
    <w:p w14:paraId="7B58B1E1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组合优惠不与渠道佣金、限时活动重复使用，避免利润失控。</w:t>
      </w:r>
    </w:p>
    <w:p w14:paraId="60B17C9B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16" w:name="section-6"/>
      <w:r>
        <w:rPr>
          <w:rFonts w:hint="eastAsia" w:ascii="SimHei" w:hAnsi="SimHei" w:eastAsia="SimHei" w:cs="SimHei"/>
          <w:b w:val="1"/>
          <w:color w:val="00897b"/>
          <w:sz w:val="28"/>
        </w:rPr>
        <w:t>五、场景工具包设计与定价</w:t>
      </w:r>
      <w:bookmarkEnd w:id="16"/>
    </w:p>
    <w:p w14:paraId="72A2DEC3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 xml:space="preserve">工具包价格参考实业客户一期工程预算（约¥2.2万）设定三级价格带：开通与配置 </w:t>
      </w:r>
      <w:r>
        <w:rPr>
          <w:rFonts w:ascii="SimSun" w:hAnsi="SimSun" w:eastAsia="SimSun" w:cs="SimSun"/>
          <w:b w:val="1"/>
          <w:color w:val="c62828"/>
          <w:sz w:val="24"/>
        </w:rPr>
        <w:t>¥300</w:t>
      </w:r>
      <w:r>
        <w:rPr>
          <w:rFonts w:hint="eastAsia" w:ascii="SimSun" w:hAnsi="SimSun" w:eastAsia="SimSun" w:cs="SimSun"/>
          <w:color w:val="212121"/>
          <w:sz w:val="24"/>
        </w:rPr>
        <w:t xml:space="preserve">—800、单品交付 </w:t>
      </w:r>
      <w:r>
        <w:rPr>
          <w:rFonts w:ascii="SimSun" w:hAnsi="SimSun" w:eastAsia="SimSun" w:cs="SimSun"/>
          <w:b w:val="1"/>
          <w:color w:val="c62828"/>
          <w:sz w:val="24"/>
        </w:rPr>
        <w:t>¥1,000</w:t>
      </w:r>
      <w:r>
        <w:rPr>
          <w:rFonts w:hint="eastAsia" w:ascii="SimSun" w:hAnsi="SimSun" w:eastAsia="SimSun" w:cs="SimSun"/>
          <w:color w:val="212121"/>
          <w:sz w:val="24"/>
        </w:rPr>
        <w:t xml:space="preserve">—1,500、深度交付约 </w:t>
      </w:r>
      <w:r>
        <w:rPr>
          <w:rFonts w:ascii="SimSun" w:hAnsi="SimSun" w:eastAsia="SimSun" w:cs="SimSun"/>
          <w:b w:val="1"/>
          <w:color w:val="c62828"/>
          <w:sz w:val="24"/>
        </w:rPr>
        <w:t>¥4,000</w:t>
      </w:r>
      <w:r>
        <w:rPr>
          <w:rFonts w:hint="eastAsia" w:ascii="SimSun" w:hAnsi="SimSun" w:eastAsia="SimSun" w:cs="SimSun"/>
          <w:color w:val="212121"/>
          <w:sz w:val="24"/>
        </w:rPr>
        <w:t xml:space="preserve">，系统集成类 </w:t>
      </w:r>
      <w:r>
        <w:rPr>
          <w:rFonts w:hint="eastAsia" w:ascii="SimSun" w:hAnsi="SimSun" w:eastAsia="SimSun" w:cs="SimSun"/>
          <w:b w:val="1"/>
          <w:color w:val="c62828"/>
          <w:sz w:val="24"/>
        </w:rPr>
        <w:t>¥6,000起</w:t>
      </w:r>
      <w:r>
        <w:rPr>
          <w:rFonts w:hint="eastAsia" w:ascii="SimSun" w:hAnsi="SimSun" w:eastAsia="SimSun" w:cs="SimSun"/>
          <w:color w:val="212121"/>
          <w:sz w:val="24"/>
        </w:rPr>
        <w:t>。低客单价档位以模板化交付控制成本，目的是让客户以最小代价完成单点验证，再逐级扩展。</w:t>
      </w:r>
    </w:p>
    <w:p w14:paraId="691ACF64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7" w:name="subsection-11"/>
      <w:r>
        <w:rPr>
          <w:rFonts w:hint="eastAsia" w:ascii="SimHei" w:hAnsi="SimHei" w:eastAsia="SimHei" w:cs="SimHei"/>
          <w:b w:val="1"/>
          <w:color w:val="212121"/>
          <w:sz w:val="24"/>
        </w:rPr>
        <w:t>5.1 工具包一：AI小程序与官方网站建设</w:t>
      </w:r>
      <w:bookmarkEnd w:id="17"/>
    </w:p>
    <w:p w14:paraId="3967A9F3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：缺少线上展示、获客、预约、咨询和交易入口。</w:t>
      </w:r>
    </w:p>
    <w:p w14:paraId="761169B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：品牌官网、服务展示、案例、表单留资、预约、AI问答、会员或简单商城；小程序可扩展微信登录、消息通知和订单功能。</w:t>
      </w:r>
    </w:p>
    <w:p w14:paraId="1C49D054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交付物</w:t>
      </w:r>
      <w:r>
        <w:rPr>
          <w:rFonts w:hint="eastAsia" w:ascii="SimSun" w:hAnsi="SimSun" w:eastAsia="SimSun" w:cs="SimSun"/>
          <w:color w:val="212121"/>
          <w:sz w:val="24"/>
        </w:rPr>
        <w:t>：需求清单、页面原型、视觉页面、前端页面、后台配置、域名或小程序上线协助、基础操作手册。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33546C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E62A54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适用范围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8E8985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33F5F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实施周期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E4A722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展示版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FB42C7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5页以内官网、表单留资、基础SEO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E070BF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¥1,200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8B4639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2—3周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397C2A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营销版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761E9C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10页以内、案例、预约、AI咨询入口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5BAC544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¥2,800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062963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4—6周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ADB96D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业务版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CFA2F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小程序或会员、订单、接口与定制流程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CF8770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¥4,800起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978AEB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6—10周</w:t>
            </w:r>
          </w:p>
        </w:tc>
      </w:tr>
    </w:tbl>
    <w:p w14:paraId="52D43B4A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适用行业</w:t>
      </w:r>
      <w:r>
        <w:rPr>
          <w:rFonts w:hint="eastAsia" w:ascii="SimSun" w:hAnsi="SimSun" w:eastAsia="SimSun" w:cs="SimSun"/>
          <w:color w:val="212121"/>
          <w:sz w:val="24"/>
        </w:rPr>
        <w:t>：咨询培训、零售电商、本地生活、文旅、制造业、专业服务机构。</w:t>
      </w:r>
    </w:p>
    <w:p w14:paraId="3F3B532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8" w:name="subsection-12"/>
      <w:r>
        <w:rPr>
          <w:rFonts w:hint="eastAsia" w:ascii="SimHei" w:hAnsi="SimHei" w:eastAsia="SimHei" w:cs="SimHei"/>
          <w:b w:val="1"/>
          <w:color w:val="212121"/>
          <w:sz w:val="24"/>
        </w:rPr>
        <w:t>5.2 工具包二：基于大模型的AI客服</w:t>
      </w:r>
      <w:bookmarkEnd w:id="18"/>
    </w:p>
    <w:p w14:paraId="7EDFF4E7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：重复咨询多、人工响应慢、服务口径不一致、非工作时间无人接待。</w:t>
      </w:r>
    </w:p>
    <w:p w14:paraId="1270C19F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：企业知识库问答、网页客服、公众号或其他渠道接入、线索收集、人工转接、对话记录、常见问题统计。</w:t>
      </w:r>
    </w:p>
    <w:p w14:paraId="5A87126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交付物</w:t>
      </w:r>
      <w:r>
        <w:rPr>
          <w:rFonts w:hint="eastAsia" w:ascii="SimSun" w:hAnsi="SimSun" w:eastAsia="SimSun" w:cs="SimSun"/>
          <w:color w:val="212121"/>
          <w:sz w:val="24"/>
        </w:rPr>
        <w:t>：知识库结构、数据清洗模板、问答机器人、测试集、上线配置、客服使用手册。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3A68CB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97860D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适用范围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E31CA4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3DA1DD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后续服务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88330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轻量版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6AE69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单渠道、300条以内知识、基础问答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854379C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¥1,500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671567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模型与平台费另计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CC6369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标准版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B6E5F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多栏目知识库、线索收集、人工转接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D745A4C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¥3,800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AE8A8D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¥600/月起运维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F33337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集成版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B5A14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多渠道、CRM或工单接口、权限与统计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B59ED0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884F99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按接口和调用量报价</w:t>
            </w:r>
          </w:p>
        </w:tc>
      </w:tr>
    </w:tbl>
    <w:p w14:paraId="7D84E76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验收重点</w:t>
      </w:r>
      <w:r>
        <w:rPr>
          <w:rFonts w:hint="eastAsia" w:ascii="SimSun" w:hAnsi="SimSun" w:eastAsia="SimSun" w:cs="SimSun"/>
          <w:color w:val="212121"/>
          <w:sz w:val="24"/>
        </w:rPr>
        <w:t>：测试问题命中率、拒答机制、转人工流程、敏感信息处理和知识更新方式。</w:t>
      </w:r>
    </w:p>
    <w:p w14:paraId="595CC511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19" w:name="subsection-13"/>
      <w:r>
        <w:rPr>
          <w:rFonts w:hint="eastAsia" w:ascii="SimHei" w:hAnsi="SimHei" w:eastAsia="SimHei" w:cs="SimHei"/>
          <w:b w:val="1"/>
          <w:color w:val="212121"/>
          <w:sz w:val="24"/>
        </w:rPr>
        <w:t>5.3 工具包三：AI语音克隆与数字人</w:t>
      </w:r>
      <w:bookmarkEnd w:id="19"/>
    </w:p>
    <w:p w14:paraId="35076367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：真人出镜成本高、录制时间长、多语言内容难持续。</w:t>
      </w:r>
    </w:p>
    <w:p w14:paraId="3A0365E3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：授权声音克隆、数字人形象、口播视频、字幕、背景模板、多语言或多版本生成。</w:t>
      </w:r>
    </w:p>
    <w:p w14:paraId="4D8F666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交付物</w:t>
      </w:r>
      <w:r>
        <w:rPr>
          <w:rFonts w:hint="eastAsia" w:ascii="SimSun" w:hAnsi="SimSun" w:eastAsia="SimSun" w:cs="SimSun"/>
          <w:color w:val="212121"/>
          <w:sz w:val="24"/>
        </w:rPr>
        <w:t>：授权确认书、声音或形象模型、口播模板、样片、操作说明；按合同约定交付成片数量。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44FD4D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FF713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12EF64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45845C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语音版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BE2F8D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1个授权声音、5条语音样片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D2BBC25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¥1,800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D036B9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数字人标准版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D61BAF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1个形象、1个声音、10条短视频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96F96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¥4,000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C8FD1F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品牌数字人版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EE84EC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定制形象、场景模板、30条视频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FD875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39B9C5F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适用行业</w:t>
      </w:r>
      <w:r>
        <w:rPr>
          <w:rFonts w:hint="eastAsia" w:ascii="SimSun" w:hAnsi="SimSun" w:eastAsia="SimSun" w:cs="SimSun"/>
          <w:color w:val="212121"/>
          <w:sz w:val="24"/>
        </w:rPr>
        <w:t>：知识付费、企业培训、门店营销、文旅讲解、产品介绍、创始人IP。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1565c0" w:sz="24"/>
              <w:bottom w:val="none" w:sz="8"/>
              <w:right w:val="none" w:sz="8"/>
            </w:tcBorders>
            <w:shd w:val="clear" w:fill="f5f7fa"/>
            <w:vAlign w:val="center"/>
          </w:tcPr>
          <w:p w14:paraId="27B4A5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合规要求：必须取得本人或合法权利人的明确书面授权；禁止冒用他人声音、肖像或身份，不得用于欺诈、误导或伪造背书。必要时在内容中标注“AI生成”。</w:t>
            </w:r>
          </w:p>
        </w:tc>
      </w:tr>
    </w:tbl>
    <w:p w14:paraId="28B8CFE6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0" w:name="subsection-14"/>
      <w:r>
        <w:rPr>
          <w:rFonts w:hint="eastAsia" w:ascii="SimHei" w:hAnsi="SimHei" w:eastAsia="SimHei" w:cs="SimHei"/>
          <w:b w:val="1"/>
          <w:color w:val="212121"/>
          <w:sz w:val="24"/>
        </w:rPr>
        <w:t>5.4 工具包四：短视频AI混剪与内容生产</w:t>
      </w:r>
      <w:bookmarkEnd w:id="20"/>
    </w:p>
    <w:p w14:paraId="61BDCDD7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：素材多、剪辑慢、账号更新不稳定、内容无法规模化复用。</w:t>
      </w:r>
    </w:p>
    <w:p w14:paraId="7FA172A9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：脚本生成、素材分类、自动粗剪、字幕、配音、封面、横竖屏适配、批量输出、内容日历。</w:t>
      </w:r>
    </w:p>
    <w:p w14:paraId="1ADA20EC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交付物</w:t>
      </w:r>
      <w:r>
        <w:rPr>
          <w:rFonts w:hint="eastAsia" w:ascii="SimSun" w:hAnsi="SimSun" w:eastAsia="SimSun" w:cs="SimSun"/>
          <w:color w:val="212121"/>
          <w:sz w:val="24"/>
        </w:rPr>
        <w:t>：账号定位、选题库、脚本模板、剪辑工作流、成片、发布建议与数据复盘表。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3BA7EA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E2CFA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585FF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C235F7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工具部署版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E31062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工作流配置、模板、培训，不含代运营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E8DA2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¥1,800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DAF5A5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月度内容版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14C925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30条短视频成片、封面与文案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37103B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¥3,000/月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0B822A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矩阵运营版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FD8210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3个以内账号、60条以上内容、月度复盘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B85CE9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¥6,000/月起</w:t>
            </w:r>
          </w:p>
        </w:tc>
      </w:tr>
    </w:tbl>
    <w:p w14:paraId="24581ECD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适用行业</w:t>
      </w:r>
      <w:r>
        <w:rPr>
          <w:rFonts w:hint="eastAsia" w:ascii="SimSun" w:hAnsi="SimSun" w:eastAsia="SimSun" w:cs="SimSun"/>
          <w:color w:val="212121"/>
          <w:sz w:val="24"/>
        </w:rPr>
        <w:t>：电商、餐饮、文旅、教育培训、房产家居、本地生活、企业品牌。</w:t>
      </w:r>
    </w:p>
    <w:p w14:paraId="4484F1E8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1" w:name="subsection-15"/>
      <w:r>
        <w:rPr>
          <w:rFonts w:hint="eastAsia" w:ascii="SimHei" w:hAnsi="SimHei" w:eastAsia="SimHei" w:cs="SimHei"/>
          <w:b w:val="1"/>
          <w:color w:val="212121"/>
          <w:sz w:val="24"/>
        </w:rPr>
        <w:t>5.5 工具包五：AI商业视觉生成</w:t>
      </w:r>
      <w:bookmarkEnd w:id="21"/>
    </w:p>
    <w:p w14:paraId="709662D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该工具包吸收参考网站公开展示的“角色、商品、场景”三个方向，用于满足品牌视觉和营销素材需求。</w:t>
      </w:r>
    </w:p>
    <w:p w14:paraId="0527FCBF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核心模块</w:t>
      </w:r>
      <w:r>
        <w:rPr>
          <w:rFonts w:hint="eastAsia" w:ascii="SimSun" w:hAnsi="SimSun" w:eastAsia="SimSun" w:cs="SimSun"/>
          <w:color w:val="212121"/>
          <w:sz w:val="24"/>
        </w:rPr>
        <w:t>：</w:t>
      </w:r>
    </w:p>
    <w:p w14:paraId="6E05B822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角色：品牌IP、虚拟人物、课程角色、海报人物。</w:t>
      </w:r>
    </w:p>
    <w:p w14:paraId="3E54878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商品：商品主图、场景图、换背景、促销图、概念效果图。</w:t>
      </w:r>
    </w:p>
    <w:p w14:paraId="0D2811D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场景：门店、展会、文旅、室内外背景、活动氛围图。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A0F7DD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FF814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1AE5AC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7CC82A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素材体验包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884A33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20张精修可用图，单一方向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D548C1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383E00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品牌视觉包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F05E1A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60张图，覆盖角色/商品/场景中的两类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EC6C6A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¥2,800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C77664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视觉资产库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9117F5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150张以上、多模板、品牌规范与工作流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AE1551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¥4,000起</w:t>
            </w:r>
          </w:p>
        </w:tc>
      </w:tr>
    </w:tbl>
    <w:p w14:paraId="03E80B5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验收重点</w:t>
      </w:r>
      <w:r>
        <w:rPr>
          <w:rFonts w:hint="eastAsia" w:ascii="SimSun" w:hAnsi="SimSun" w:eastAsia="SimSun" w:cs="SimSun"/>
          <w:color w:val="212121"/>
          <w:sz w:val="24"/>
        </w:rPr>
        <w:t>：品牌一致性、图像质量、尺寸规格、素材授权、可商用范围和修改轮次。</w:t>
      </w:r>
    </w:p>
    <w:p w14:paraId="2AE738C4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2" w:name="subsection-16"/>
      <w:r>
        <w:rPr>
          <w:rFonts w:hint="eastAsia" w:ascii="SimHei" w:hAnsi="SimHei" w:eastAsia="SimHei" w:cs="SimHei"/>
          <w:b w:val="1"/>
          <w:color w:val="212121"/>
          <w:sz w:val="24"/>
        </w:rPr>
        <w:t>5.6 工具包六：企业知识库与员工AI助手</w:t>
      </w:r>
      <w:bookmarkEnd w:id="22"/>
    </w:p>
    <w:p w14:paraId="6A2A561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：制度、产品、案例和经验分散，员工检索慢，新人培养依赖老员工。</w:t>
      </w:r>
    </w:p>
    <w:p w14:paraId="1097397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：知识分类、文档清洗、权限、语义检索、问答、引用来源、内容更新机制。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B79DB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177C9D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适用范围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427217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F280C2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部门版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26123B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1个部门、500份以内文档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02A43BB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¥1,200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B63E28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93D951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多部门、权限管理、知识运营机制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FE51D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¥4,000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20C967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集成版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C764F5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对接内部系统、单点登录、审计与定制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C0D87A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5C4AD99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适用行业</w:t>
      </w:r>
      <w:r>
        <w:rPr>
          <w:rFonts w:hint="eastAsia" w:ascii="SimSun" w:hAnsi="SimSun" w:eastAsia="SimSun" w:cs="SimSun"/>
          <w:color w:val="212121"/>
          <w:sz w:val="24"/>
        </w:rPr>
        <w:t>：制造业、咨询、财税、教育、连锁、售后服务、技术型企业。</w:t>
      </w:r>
    </w:p>
    <w:p w14:paraId="07671BCF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3" w:name="subsection-17"/>
      <w:r>
        <w:rPr>
          <w:rFonts w:hint="eastAsia" w:ascii="SimHei" w:hAnsi="SimHei" w:eastAsia="SimHei" w:cs="SimHei"/>
          <w:b w:val="1"/>
          <w:color w:val="212121"/>
          <w:sz w:val="24"/>
        </w:rPr>
        <w:t>5.7 工具包七：AI办公自动化与智能体工作流</w:t>
      </w:r>
      <w:bookmarkEnd w:id="23"/>
    </w:p>
    <w:p w14:paraId="0304801D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：员工在复制粘贴、整理信息、写周报、生成报价和跟进提醒上耗时过多。</w:t>
      </w:r>
    </w:p>
    <w:p w14:paraId="121C9F5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：邮件与表格处理、报告生成、信息汇总、审批提醒、客户跟进、跨系统自动流转。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AFEFEC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0286E4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D9FDD5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916C5E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单流程版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D4DAAB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1个高频流程自动化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0C8AB5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¥1,200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45CDB8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部门版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7DA646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3—5个流程、培训与操作手册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19140E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¥3,200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EC5E55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307B55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10个以上流程、权限、日志和系统接口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0F5ED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736BE09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验收重点</w:t>
      </w:r>
      <w:r>
        <w:rPr>
          <w:rFonts w:hint="eastAsia" w:ascii="SimSun" w:hAnsi="SimSun" w:eastAsia="SimSun" w:cs="SimSun"/>
          <w:color w:val="212121"/>
          <w:sz w:val="24"/>
        </w:rPr>
        <w:t>：节省工时、错误率、执行稳定性、异常提醒和人工接管机制。</w:t>
      </w:r>
    </w:p>
    <w:p w14:paraId="75E9E253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4" w:name="subsection-18"/>
      <w:r>
        <w:rPr>
          <w:rFonts w:hint="eastAsia" w:ascii="SimHei" w:hAnsi="SimHei" w:eastAsia="SimHei" w:cs="SimHei"/>
          <w:b w:val="1"/>
          <w:color w:val="212121"/>
          <w:sz w:val="24"/>
        </w:rPr>
        <w:t>5.8 工具包八：私域营销与销售线索助手</w:t>
      </w:r>
      <w:bookmarkEnd w:id="24"/>
    </w:p>
    <w:p w14:paraId="5246F26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：线索散落、跟进不及时、客户分层不足、复购运营缺乏节奏。</w:t>
      </w:r>
    </w:p>
    <w:p w14:paraId="5F7AF72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：线索表单、客户标签、跟进提醒、销售话术、内容触达、成交复盘、CRM辅助。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01A276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EA1043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BF877D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00EF64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起步版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AF066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线索表、标签、话术和提醒流程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D6E25E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BE109A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增长版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CA7A9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内容触达、销售助手、月度漏斗复盘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413B39B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2DA8BA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集成版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116794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对接CRM、多渠道线索与自动分配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10CA1D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4484A029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5" w:name="subsection-19"/>
      <w:r>
        <w:rPr>
          <w:rFonts w:hint="eastAsia" w:ascii="SimHei" w:hAnsi="SimHei" w:eastAsia="SimHei" w:cs="SimHei"/>
          <w:b w:val="1"/>
          <w:color w:val="212121"/>
          <w:sz w:val="24"/>
        </w:rPr>
        <w:t>5.9 工具包九：AI营销内容矩阵</w:t>
      </w:r>
      <w:bookmarkEnd w:id="25"/>
    </w:p>
    <w:p w14:paraId="670466A6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：选题不足、品牌表达不统一、公众号与社交平台内容更新不稳定。</w:t>
      </w:r>
    </w:p>
    <w:p w14:paraId="095F33A6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：品牌语料库、选题库、长短文改写、海报文案、活动方案、月度内容日历。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07E83E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F8CABB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ADD349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49C788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内容系统版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AEA3E3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品牌语料、100个选题、模板与培训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4CCFE38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¥1,200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0DBE3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月度代产版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1B8463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公众号文章、社交内容与海报文案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67730D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¥2,800/月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184F51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品牌矩阵版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E8419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多平台、多账号、审核流程与复盘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78450E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¥6,000/月起</w:t>
            </w:r>
          </w:p>
        </w:tc>
      </w:tr>
    </w:tbl>
    <w:p w14:paraId="11EE0A5F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6" w:name="subsection-20"/>
      <w:r>
        <w:rPr>
          <w:rFonts w:hint="eastAsia" w:ascii="SimHei" w:hAnsi="SimHei" w:eastAsia="SimHei" w:cs="SimHei"/>
          <w:b w:val="1"/>
          <w:color w:val="212121"/>
          <w:sz w:val="24"/>
        </w:rPr>
        <w:t>5.10 工具包十：经营数据分析与AI驾驶舱</w:t>
      </w:r>
      <w:bookmarkEnd w:id="26"/>
    </w:p>
    <w:p w14:paraId="6C28C61E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：数据存在多个表格和系统中，管理者无法快速理解经营变化。</w:t>
      </w:r>
    </w:p>
    <w:p w14:paraId="705324E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：数据口径梳理、自动汇总、指标看板、经营问答、异常提醒、周期报告。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B78D6D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1B1964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CDDB5C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0CB9B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报表版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237E2E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1类业务数据、自动报表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C84BA6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¥1,500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90C5BF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驾驶舱版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7DAAB1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多指标看板、月报与异常提醒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13751B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CB982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集成版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B17D5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多系统接入、权限与管理问答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BA154C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3A1EB8BC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7" w:name="subsection-21"/>
      <w:r>
        <w:rPr>
          <w:rFonts w:hint="eastAsia" w:ascii="SimHei" w:hAnsi="SimHei" w:eastAsia="SimHei" w:cs="SimHei"/>
          <w:b w:val="1"/>
          <w:color w:val="212121"/>
          <w:sz w:val="24"/>
        </w:rPr>
        <w:t>5.11 工具包十一：AI招聘与人才发展助手</w:t>
      </w:r>
      <w:bookmarkEnd w:id="27"/>
    </w:p>
    <w:p w14:paraId="1BE332FF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：岗位描述不清、简历初筛耗时、面试标准不统一、培训资料重复制作。</w:t>
      </w:r>
    </w:p>
    <w:p w14:paraId="652FD46B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核心功能</w:t>
      </w:r>
      <w:r>
        <w:rPr>
          <w:rFonts w:hint="eastAsia" w:ascii="SimSun" w:hAnsi="SimSun" w:eastAsia="SimSun" w:cs="SimSun"/>
          <w:color w:val="212121"/>
          <w:sz w:val="24"/>
        </w:rPr>
        <w:t>：岗位说明书、简历初筛辅助、面试题库、评价表、入职学习助手、培训内容生成。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DCF65B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版本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71CD99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主要交付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04D148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DFA369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招聘版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7331E2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5个岗位模板、题库、评价表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48C5E3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¥1,500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E5CEF5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人才版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F96855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招聘 + 入职 + 内训知识库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D28A12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¥3,000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697846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1E6B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系统接口、权限、统计与持续运营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404331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¥6,000起</w:t>
            </w:r>
          </w:p>
        </w:tc>
      </w:tr>
    </w:tbl>
    <w:p w14:paraId="4FEA3B9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1565c0" w:sz="24"/>
              <w:bottom w:val="none" w:sz="8"/>
              <w:right w:val="none" w:sz="8"/>
            </w:tcBorders>
            <w:shd w:val="clear" w:fill="f5f7fa"/>
            <w:vAlign w:val="center"/>
          </w:tcPr>
          <w:p w14:paraId="6560C72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合规要求：AI只能作为辅助，不应基于敏感个人信息自动做出就业决定；关键录用结论须由人工复核。</w:t>
            </w:r>
          </w:p>
        </w:tc>
      </w:tr>
    </w:tbl>
    <w:p w14:paraId="4F847703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28" w:name="subsection-22"/>
      <w:r>
        <w:rPr>
          <w:rFonts w:hint="eastAsia" w:ascii="SimHei" w:hAnsi="SimHei" w:eastAsia="SimHei" w:cs="SimHei"/>
          <w:b w:val="1"/>
          <w:color w:val="212121"/>
          <w:sz w:val="24"/>
        </w:rPr>
        <w:t>5.12 工具包十二：企业AI培训与认证</w:t>
      </w:r>
      <w:bookmarkEnd w:id="28"/>
    </w:p>
    <w:p w14:paraId="4533B25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解决问题</w:t>
      </w:r>
      <w:r>
        <w:rPr>
          <w:rFonts w:hint="eastAsia" w:ascii="SimSun" w:hAnsi="SimSun" w:eastAsia="SimSun" w:cs="SimSun"/>
          <w:color w:val="212121"/>
          <w:sz w:val="24"/>
        </w:rPr>
        <w:t>：员工不会用、管理层不理解、部门之间缺少统一方法。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AD304D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产品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77A22C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主要内容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1A1BA4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1B503D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管理层闭门课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5F009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AI趋势、业务机会、风险与路线图，半天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90E7D8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¥1,500/场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7A9B17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岗位实战营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E5B90A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结合岗位场景，1天工作坊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0537FD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¥3,000/场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E843F4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企业训练营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CE8966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4周课程、作业、辅导与成果评审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BF05E8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¥8,000</w:t>
            </w:r>
            <w:r>
              <w:rPr>
                <w:rFonts w:hint="eastAsia" w:ascii="SimSun" w:hAnsi="SimSun" w:eastAsia="SimSun" w:cs="SimSun"/>
                <w:color w:val="212121"/>
                <w:sz w:val="18"/>
              </w:rPr>
              <w:t>期起</w:t>
            </w:r>
          </w:p>
        </w:tc>
      </w:tr>
    </w:tbl>
    <w:p w14:paraId="33A88C09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29" w:name="section-7"/>
      <w:r>
        <w:rPr>
          <w:rFonts w:hint="eastAsia" w:ascii="SimHei" w:hAnsi="SimHei" w:eastAsia="SimHei" w:cs="SimHei"/>
          <w:b w:val="1"/>
          <w:color w:val="00897b"/>
          <w:sz w:val="28"/>
        </w:rPr>
        <w:t>六、行业组合包</w:t>
      </w:r>
      <w:bookmarkEnd w:id="29"/>
    </w:p>
    <w:p w14:paraId="1504FE21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行业组合包不是简单打折，而是将行业常见需求、内容模板、知识结构和验收指标预先组合，缩短售前与交付周期。总价对齐实业客户一期工程预算区间（约¥1.5万—2.5万，含首期实施指导），低于单独采购全部组件加实施指导的费用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28C15B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行业组合包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0CB59B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推荐工具组合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84F44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建议价格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57570C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预期结果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716646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电商零售增长包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684110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商业视觉 + 短视频 + AI客服 + 数据报表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76982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¥19,800起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B13A8F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提升素材产能、咨询响应与活动复盘效率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D1A5F4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教育培训增长包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DE0A62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官网/小程序 + 数字人 + 知识库 + 内容矩阵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F04150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¥16,800起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48C0A9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形成招生、咨询、课程内容与学员服务闭环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6F8FBA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本地生活门店包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7C0AC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官网/预约 + 私域 + 短视频 + AI客服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529BDA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¥14,800起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1AFBCB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持续获客、预约到店和复购触达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35F288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专业服务提效包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01AF8E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知识库 + 官网 + 内容矩阵 + 办公自动化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1CBE67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¥16,800起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911F8D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沉淀专业知识、增强品牌信任、提高交付效率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CB6EA7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制造业售前助手包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32E4C9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企业知识库 + AI客服 + 官网 + 数据驾驶舱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15D61A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¥24,800起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868A8C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加快资料查询、产品选型、售前答疑和经营分析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5D57B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文旅酒店内容包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677DE0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商业视觉 + 数字人讲解 + 短视频 + AI客服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446EDF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¥18,800起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42ABCE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批量生产内容、提升讲解和咨询体验</w:t>
            </w:r>
          </w:p>
        </w:tc>
      </w:tr>
      <w:tr>
        <w:trPr/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2DB2B4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医疗健康机构包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204322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机构知识库 + AI客服 + 数字人 + 内容矩阵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0E8A1F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c62828"/>
                <w:sz w:val="18"/>
              </w:rPr>
              <w:t>¥22,800起</w:t>
            </w:r>
          </w:p>
        </w:tc>
        <w:tc>
          <w:tcPr>
            <w:tcW w:w="2076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C96FF1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规范就医指引、常见问答与科普内容生产</w:t>
            </w:r>
          </w:p>
        </w:tc>
      </w:tr>
    </w:tbl>
    <w:p w14:paraId="425967EC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30" w:name="section-8"/>
      <w:r>
        <w:rPr>
          <w:rFonts w:hint="eastAsia" w:ascii="SimHei" w:hAnsi="SimHei" w:eastAsia="SimHei" w:cs="SimHei"/>
          <w:b w:val="1"/>
          <w:color w:val="00897b"/>
          <w:sz w:val="28"/>
        </w:rPr>
        <w:t>七、商业模式与收入结构</w:t>
      </w:r>
      <w:bookmarkEnd w:id="30"/>
    </w:p>
    <w:p w14:paraId="529ABF52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1" w:name="subsection-23"/>
      <w:r>
        <w:rPr>
          <w:rFonts w:hint="eastAsia" w:ascii="SimHei" w:hAnsi="SimHei" w:eastAsia="SimHei" w:cs="SimHei"/>
          <w:b w:val="1"/>
          <w:color w:val="212121"/>
          <w:sz w:val="24"/>
        </w:rPr>
        <w:t>7.1 收入来源</w:t>
      </w:r>
      <w:bookmarkEnd w:id="31"/>
    </w:p>
    <w:p w14:paraId="098415FD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基础型年度会员收入，形成稳定客户池和现金流。</w:t>
      </w:r>
    </w:p>
    <w:p w14:paraId="1A17A304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陪跑型季度或年度顾问收入，形成高信任、高续费服务。</w:t>
      </w:r>
    </w:p>
    <w:p w14:paraId="15E9A0A4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托管型项目收入，形成高客单价和标杆案例。</w:t>
      </w:r>
    </w:p>
    <w:p w14:paraId="2ACBF54F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工具包实施收入，形成标准化、可组合的项目收入。</w:t>
      </w:r>
    </w:p>
    <w:p w14:paraId="2D04241F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月度运营与维护收入，包括内容生产、知识库更新、客服优化和数据复盘。</w:t>
      </w:r>
    </w:p>
    <w:p w14:paraId="3F9999EC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企业培训收入，包括管理层课程、岗位工作坊和训练营。</w:t>
      </w:r>
    </w:p>
    <w:p w14:paraId="346A6A7F">
      <w:pPr>
        <w:numPr>
          <w:ilvl w:val="0"/>
          <w:numId w:val="6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合作伙伴收入，包括渠道转介、联合交付和行业方案授权；须在合同中明确责任与客户归属。</w:t>
      </w:r>
    </w:p>
    <w:p w14:paraId="058462EA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2" w:name="subsection-24"/>
      <w:r>
        <w:rPr>
          <w:rFonts w:hint="eastAsia" w:ascii="SimHei" w:hAnsi="SimHei" w:eastAsia="SimHei" w:cs="SimHei"/>
          <w:b w:val="1"/>
          <w:color w:val="212121"/>
          <w:sz w:val="24"/>
        </w:rPr>
        <w:t>7.2 产品漏斗</w:t>
      </w:r>
      <w:bookmarkEnd w:id="32"/>
    </w:p>
    <w:p w14:paraId="0A6AB0D2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公开内容与体验活动负责获客，免费诊断负责筛选，基础型负责建立信任，陪跑型负责形成结果，托管型和工具包负责高价值交付，月度运营负责复购。</w:t>
      </w:r>
    </w:p>
    <w:p w14:paraId="1A04582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建议销售路径为：</w:t>
      </w:r>
    </w:p>
    <w:p w14:paraId="530E2083">
      <w:pPr>
        <w:numPr>
          <w:ilvl w:val="0"/>
          <w:numId w:val="7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短视频、公开课、案例文章和行业报告吸引线索。</w:t>
      </w:r>
    </w:p>
    <w:p w14:paraId="6629FB6F">
      <w:pPr>
        <w:numPr>
          <w:ilvl w:val="0"/>
          <w:numId w:val="7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提供30分钟AI机会诊断或企业AI成熟度测评。</w:t>
      </w:r>
    </w:p>
    <w:p w14:paraId="5F3BD5CA">
      <w:pPr>
        <w:numPr>
          <w:ilvl w:val="0"/>
          <w:numId w:val="7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根据预算和成熟度推荐基础型、陪跑型或工具包。</w:t>
      </w:r>
    </w:p>
    <w:p w14:paraId="3F21A4EA">
      <w:pPr>
        <w:numPr>
          <w:ilvl w:val="0"/>
          <w:numId w:val="7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通过试点成果升级托管型或年度服务。</w:t>
      </w:r>
    </w:p>
    <w:p w14:paraId="0E9E389F">
      <w:pPr>
        <w:numPr>
          <w:ilvl w:val="0"/>
          <w:numId w:val="7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用复盘报告、行业案例和客户转介绍降低后续获客成本。</w:t>
      </w:r>
    </w:p>
    <w:p w14:paraId="5D36AE22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3" w:name="subsection-25"/>
      <w:r>
        <w:rPr>
          <w:rFonts w:hint="eastAsia" w:ascii="SimHei" w:hAnsi="SimHei" w:eastAsia="SimHei" w:cs="SimHei"/>
          <w:b w:val="1"/>
          <w:color w:val="212121"/>
          <w:sz w:val="24"/>
        </w:rPr>
        <w:t>7.3 价格管理原则</w:t>
      </w:r>
      <w:bookmarkEnd w:id="33"/>
    </w:p>
    <w:p w14:paraId="62AB4AB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对外统一公布“标准价”与“起售价”，复杂项目以需求评估书为准。</w:t>
      </w:r>
    </w:p>
    <w:p w14:paraId="6C1E808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合同明确包含项、不包含项、修改次数、验收标准和第三方费用。</w:t>
      </w:r>
    </w:p>
    <w:p w14:paraId="3A7986B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渠道佣金、销售折扣和交付成本必须在报价审批中单独列示。</w:t>
      </w:r>
    </w:p>
    <w:p w14:paraId="3EE0D72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创业初期可用首批案例价，但必须换取公开案例授权、评价或转介绍资源。</w:t>
      </w:r>
    </w:p>
    <w:p w14:paraId="2811F572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34" w:name="section-9"/>
      <w:r>
        <w:rPr>
          <w:rFonts w:hint="eastAsia" w:ascii="SimHei" w:hAnsi="SimHei" w:eastAsia="SimHei" w:cs="SimHei"/>
          <w:b w:val="1"/>
          <w:color w:val="00897b"/>
          <w:sz w:val="28"/>
        </w:rPr>
        <w:t>八、获客与品牌推广方案</w:t>
      </w:r>
      <w:bookmarkEnd w:id="34"/>
    </w:p>
    <w:p w14:paraId="3860DD8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5" w:name="subsection-26"/>
      <w:r>
        <w:rPr>
          <w:rFonts w:hint="eastAsia" w:ascii="SimHei" w:hAnsi="SimHei" w:eastAsia="SimHei" w:cs="SimHei"/>
          <w:b w:val="1"/>
          <w:color w:val="212121"/>
          <w:sz w:val="24"/>
        </w:rPr>
        <w:t>8.1 内容定位</w:t>
      </w:r>
      <w:bookmarkEnd w:id="35"/>
    </w:p>
    <w:p w14:paraId="75EB8A72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官网和内容矩阵不应只讲“AI很强”，而应持续回答客户的四个问题：能解决什么、适合谁、需要多少钱、多久能看到结果。</w:t>
      </w:r>
    </w:p>
    <w:p w14:paraId="6432E9E6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推荐内容支柱：</w:t>
      </w:r>
    </w:p>
    <w:p w14:paraId="3029F531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AI工具实测与避坑。</w:t>
      </w:r>
    </w:p>
    <w:p w14:paraId="1B373604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不同行业的AI工作流拆解。</w:t>
      </w:r>
    </w:p>
    <w:p w14:paraId="601E7FA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客户案例和改造前后对比。</w:t>
      </w:r>
    </w:p>
    <w:p w14:paraId="2C7576F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管理者AI转型方法。</w:t>
      </w:r>
    </w:p>
    <w:p w14:paraId="32321DC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创业者从0到1的产品与获客复盘。</w:t>
      </w:r>
    </w:p>
    <w:p w14:paraId="477A927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数据安全、声音与肖像授权、内容版权等合规提醒。</w:t>
      </w:r>
    </w:p>
    <w:p w14:paraId="577DCBF7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6" w:name="subsection-27"/>
      <w:r>
        <w:rPr>
          <w:rFonts w:hint="eastAsia" w:ascii="SimHei" w:hAnsi="SimHei" w:eastAsia="SimHei" w:cs="SimHei"/>
          <w:b w:val="1"/>
          <w:color w:val="212121"/>
          <w:sz w:val="24"/>
        </w:rPr>
        <w:t>8.2 渠道组合</w:t>
      </w:r>
      <w:bookmarkEnd w:id="36"/>
    </w:p>
    <w:p w14:paraId="4AE0496B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公域：短视频平台、内容社区、搜索引擎、行业媒体。</w:t>
      </w:r>
    </w:p>
    <w:p w14:paraId="581204D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私域：社群、直播、公众号、客户通讯和老客户转介绍。</w:t>
      </w:r>
    </w:p>
    <w:p w14:paraId="1869268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B端渠道：产业园、商协会、培训机构、软件服务商、代运营公司和财税机构。</w:t>
      </w:r>
    </w:p>
    <w:p w14:paraId="693F32E2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线下：AI公开课、老板沙龙、企业内训和行业闭门会。</w:t>
      </w:r>
    </w:p>
    <w:p w14:paraId="3AA9AC72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7" w:name="subsection-28"/>
      <w:r>
        <w:rPr>
          <w:rFonts w:hint="eastAsia" w:ascii="SimHei" w:hAnsi="SimHei" w:eastAsia="SimHei" w:cs="SimHei"/>
          <w:b w:val="1"/>
          <w:color w:val="212121"/>
          <w:sz w:val="24"/>
        </w:rPr>
        <w:t>8.3 标准销售资料</w:t>
      </w:r>
      <w:bookmarkEnd w:id="37"/>
    </w:p>
    <w:p w14:paraId="0A9C53C0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一页式服务总览。</w:t>
      </w:r>
    </w:p>
    <w:p w14:paraId="74AB6B33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三级服务包对比表。</w:t>
      </w:r>
    </w:p>
    <w:p w14:paraId="26F37A2F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场景工具包价格册。</w:t>
      </w:r>
    </w:p>
    <w:p w14:paraId="10320D12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行业解决方案单页。</w:t>
      </w:r>
    </w:p>
    <w:p w14:paraId="3F846900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诊断问卷和需求确认表。</w:t>
      </w:r>
    </w:p>
    <w:p w14:paraId="50D72FE5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项目建议书、报价单、合同、变更单和验收单模板。</w:t>
      </w:r>
    </w:p>
    <w:p w14:paraId="0B9AE478">
      <w:pPr>
        <w:numPr>
          <w:ilvl w:val="0"/>
          <w:numId w:val="8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案例授权书、声音与肖像授权书、数据处理说明。</w:t>
      </w:r>
    </w:p>
    <w:p w14:paraId="10E3C9A4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38" w:name="section-10"/>
      <w:r>
        <w:rPr>
          <w:rFonts w:hint="eastAsia" w:ascii="SimHei" w:hAnsi="SimHei" w:eastAsia="SimHei" w:cs="SimHei"/>
          <w:b w:val="1"/>
          <w:color w:val="00897b"/>
          <w:sz w:val="28"/>
        </w:rPr>
        <w:t>九、交付SOP与验收机制</w:t>
      </w:r>
      <w:bookmarkEnd w:id="38"/>
    </w:p>
    <w:p w14:paraId="5C44C8EC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39" w:name="subsection-29"/>
      <w:r>
        <w:rPr>
          <w:rFonts w:hint="eastAsia" w:ascii="SimHei" w:hAnsi="SimHei" w:eastAsia="SimHei" w:cs="SimHei"/>
          <w:b w:val="1"/>
          <w:color w:val="212121"/>
          <w:sz w:val="24"/>
        </w:rPr>
        <w:t>9.1 七步交付流程</w:t>
      </w:r>
      <w:bookmarkEnd w:id="39"/>
    </w:p>
    <w:p w14:paraId="71204C17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线索初筛</w:t>
      </w:r>
      <w:r>
        <w:rPr>
          <w:rFonts w:hint="eastAsia" w:ascii="SimSun" w:hAnsi="SimSun" w:eastAsia="SimSun" w:cs="SimSun"/>
          <w:color w:val="212121"/>
          <w:sz w:val="24"/>
        </w:rPr>
        <w:t>：确认行业、问题、预算、时间和决策人。</w:t>
      </w:r>
    </w:p>
    <w:p w14:paraId="0321D1C4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业务诊断</w:t>
      </w:r>
      <w:r>
        <w:rPr>
          <w:rFonts w:hint="eastAsia" w:ascii="SimSun" w:hAnsi="SimSun" w:eastAsia="SimSun" w:cs="SimSun"/>
          <w:color w:val="212121"/>
          <w:sz w:val="24"/>
        </w:rPr>
        <w:t>：梳理现状流程、数据来源、人员角色和目标指标。</w:t>
      </w:r>
    </w:p>
    <w:p w14:paraId="0F529FEB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方案与报价</w:t>
      </w:r>
      <w:r>
        <w:rPr>
          <w:rFonts w:hint="eastAsia" w:ascii="SimSun" w:hAnsi="SimSun" w:eastAsia="SimSun" w:cs="SimSun"/>
          <w:color w:val="212121"/>
          <w:sz w:val="24"/>
        </w:rPr>
        <w:t>：明确范围、交付物、排期、验收、费用和责任边界。</w:t>
      </w:r>
    </w:p>
    <w:p w14:paraId="76162429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最小可行验证</w:t>
      </w:r>
      <w:r>
        <w:rPr>
          <w:rFonts w:hint="eastAsia" w:ascii="SimSun" w:hAnsi="SimSun" w:eastAsia="SimSun" w:cs="SimSun"/>
          <w:color w:val="212121"/>
          <w:sz w:val="24"/>
        </w:rPr>
        <w:t>：用样例数据或限定场景验证可行性，控制试错成本。</w:t>
      </w:r>
    </w:p>
    <w:p w14:paraId="7CA06B5E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实施与测试</w:t>
      </w:r>
      <w:r>
        <w:rPr>
          <w:rFonts w:hint="eastAsia" w:ascii="SimSun" w:hAnsi="SimSun" w:eastAsia="SimSun" w:cs="SimSun"/>
          <w:color w:val="212121"/>
          <w:sz w:val="24"/>
        </w:rPr>
        <w:t>：完成配置、开发、内容制作、数据整理和内部测试。</w:t>
      </w:r>
    </w:p>
    <w:p w14:paraId="2B047A7E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培训与上线</w:t>
      </w:r>
      <w:r>
        <w:rPr>
          <w:rFonts w:hint="eastAsia" w:ascii="SimSun" w:hAnsi="SimSun" w:eastAsia="SimSun" w:cs="SimSun"/>
          <w:color w:val="212121"/>
          <w:sz w:val="24"/>
        </w:rPr>
        <w:t>：对管理者和使用人员进行培训，完成上线和操作交接。</w:t>
      </w:r>
    </w:p>
    <w:p w14:paraId="3196272D">
      <w:pPr>
        <w:numPr>
          <w:ilvl w:val="0"/>
          <w:numId w:val="9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验收与复盘</w:t>
      </w:r>
      <w:r>
        <w:rPr>
          <w:rFonts w:hint="eastAsia" w:ascii="SimSun" w:hAnsi="SimSun" w:eastAsia="SimSun" w:cs="SimSun"/>
          <w:color w:val="212121"/>
          <w:sz w:val="24"/>
        </w:rPr>
        <w:t>：根据指标验收，记录问题，提出下一阶段优化建议。</w:t>
      </w:r>
    </w:p>
    <w:p w14:paraId="7C7EAFFC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0" w:name="subsection-30"/>
      <w:r>
        <w:rPr>
          <w:rFonts w:hint="eastAsia" w:ascii="SimHei" w:hAnsi="SimHei" w:eastAsia="SimHei" w:cs="SimHei"/>
          <w:b w:val="1"/>
          <w:color w:val="212121"/>
          <w:sz w:val="24"/>
        </w:rPr>
        <w:t>9.2 标准项目文档</w:t>
      </w:r>
      <w:bookmarkEnd w:id="40"/>
    </w:p>
    <w:p w14:paraId="38B73B65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每个陪跑型和托管型项目至少保留以下文档：需求确认书、项目计划、交付清单、风险清单、会议纪要、测试记录、培训签到或记录、验收单、账号与权限移交清单。</w:t>
      </w:r>
    </w:p>
    <w:p w14:paraId="08AECCF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1" w:name="subsection-31"/>
      <w:r>
        <w:rPr>
          <w:rFonts w:hint="eastAsia" w:ascii="SimHei" w:hAnsi="SimHei" w:eastAsia="SimHei" w:cs="SimHei"/>
          <w:b w:val="1"/>
          <w:color w:val="212121"/>
          <w:sz w:val="24"/>
        </w:rPr>
        <w:t>9.3 变更管理</w:t>
      </w:r>
      <w:bookmarkEnd w:id="41"/>
    </w:p>
    <w:p w14:paraId="09078960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客户新增渠道、接口、内容数量、账号数量或功能时，项目经理应出具变更单，说明新增费用、排期影响和验收变化。未经确认的口头需求不进入正式交付范围。</w:t>
      </w:r>
    </w:p>
    <w:p w14:paraId="3696CDDD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42" w:name="section-11"/>
      <w:r>
        <w:rPr>
          <w:rFonts w:hint="eastAsia" w:ascii="SimHei" w:hAnsi="SimHei" w:eastAsia="SimHei" w:cs="SimHei"/>
          <w:b w:val="1"/>
          <w:color w:val="00897b"/>
          <w:sz w:val="28"/>
        </w:rPr>
        <w:t>十、团队配置与合作生态</w:t>
      </w:r>
      <w:bookmarkEnd w:id="42"/>
    </w:p>
    <w:p w14:paraId="5C39F2C7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3" w:name="subsection-32"/>
      <w:r>
        <w:rPr>
          <w:rFonts w:hint="eastAsia" w:ascii="SimHei" w:hAnsi="SimHei" w:eastAsia="SimHei" w:cs="SimHei"/>
          <w:b w:val="1"/>
          <w:color w:val="212121"/>
          <w:sz w:val="24"/>
        </w:rPr>
        <w:t>10.1 最小团队配置</w:t>
      </w:r>
      <w:bookmarkEnd w:id="43"/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B058CD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角色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DD2E06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核心职责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C0B83E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初期配置建议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B72E23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创始人/解决方案顾问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9BE75B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销售、诊断、方案、关键客户关系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0DEE5F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1人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E3FF6B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项目经理/交付顾问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5593F7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计划、沟通、风险、验收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BA1FFF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1人，可兼任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2848E5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AI应用工程师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FCBA17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知识库、工作流、模型与接口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FA9298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1人或长期合作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DFDDA8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设计与内容制作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B077A6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官网、视觉、数字人、短视频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68F8BF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合作制起步</w:t>
            </w:r>
          </w:p>
        </w:tc>
      </w:tr>
      <w:tr>
        <w:trPr/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4F91A5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客户成功/运营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2207A7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社群、续费、案例、数据复盘</w:t>
            </w:r>
          </w:p>
        </w:tc>
        <w:tc>
          <w:tcPr>
            <w:tcW w:w="2768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ADB242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客户达到一定规模后配置</w:t>
            </w:r>
          </w:p>
        </w:tc>
      </w:tr>
    </w:tbl>
    <w:p w14:paraId="73F2CE87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4" w:name="subsection-33"/>
      <w:r>
        <w:rPr>
          <w:rFonts w:hint="eastAsia" w:ascii="SimHei" w:hAnsi="SimHei" w:eastAsia="SimHei" w:cs="SimHei"/>
          <w:b w:val="1"/>
          <w:color w:val="212121"/>
          <w:sz w:val="24"/>
        </w:rPr>
        <w:t>10.2 合作伙伴</w:t>
      </w:r>
      <w:bookmarkEnd w:id="44"/>
    </w:p>
    <w:p w14:paraId="0EA00391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建议建立网站与小程序开发、云服务、模型平台、内容制作、财税法务、行业顾问和本地渠道伙伴库。合作前明确报价、交付标准、知识产权、客户关系、保密义务和售后责任。</w:t>
      </w:r>
    </w:p>
    <w:p w14:paraId="17D9640B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45" w:name="section-12"/>
      <w:r>
        <w:rPr>
          <w:rFonts w:hint="eastAsia" w:ascii="SimHei" w:hAnsi="SimHei" w:eastAsia="SimHei" w:cs="SimHei"/>
          <w:b w:val="1"/>
          <w:color w:val="00897b"/>
          <w:sz w:val="28"/>
        </w:rPr>
        <w:t>十一、12个月实施路线图</w:t>
      </w:r>
      <w:bookmarkEnd w:id="45"/>
    </w:p>
    <w:p w14:paraId="3396E422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6" w:name="subsection-34"/>
      <w:r>
        <w:rPr>
          <w:rFonts w:hint="eastAsia" w:ascii="SimHei" w:hAnsi="SimHei" w:eastAsia="SimHei" w:cs="SimHei"/>
          <w:b w:val="1"/>
          <w:color w:val="212121"/>
          <w:sz w:val="24"/>
        </w:rPr>
        <w:t>第一季度：产品标准化与首批案例</w:t>
      </w:r>
      <w:bookmarkEnd w:id="46"/>
    </w:p>
    <w:p w14:paraId="1396B53B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完成三级服务包、工具包和合同模板。</w:t>
      </w:r>
    </w:p>
    <w:p w14:paraId="58D9D850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上线官网最小版本和咨询表单。</w:t>
      </w:r>
    </w:p>
    <w:p w14:paraId="07EB6F7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连续开展4场公开课或直播。</w:t>
      </w:r>
    </w:p>
    <w:p w14:paraId="5C324D0A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获取10名基础型、3名陪跑型和1个工具包客户。</w:t>
      </w:r>
    </w:p>
    <w:p w14:paraId="7F448AE2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沉淀3个可公开案例或匿名案例。</w:t>
      </w:r>
    </w:p>
    <w:p w14:paraId="05FE53CB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7" w:name="subsection-35"/>
      <w:r>
        <w:rPr>
          <w:rFonts w:hint="eastAsia" w:ascii="SimHei" w:hAnsi="SimHei" w:eastAsia="SimHei" w:cs="SimHei"/>
          <w:b w:val="1"/>
          <w:color w:val="212121"/>
          <w:sz w:val="24"/>
        </w:rPr>
        <w:t>第二季度：建立销售与交付闭环</w:t>
      </w:r>
      <w:bookmarkEnd w:id="47"/>
    </w:p>
    <w:p w14:paraId="7CE03AA4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完成客户诊断、报价、项目、验收和复购SOP。</w:t>
      </w:r>
    </w:p>
    <w:p w14:paraId="004BB91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推出3个行业组合包。</w:t>
      </w:r>
    </w:p>
    <w:p w14:paraId="2CE9311B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建立渠道合作和客户转介绍机制。</w:t>
      </w:r>
    </w:p>
    <w:p w14:paraId="69A017A4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引入项目经理或固定交付伙伴。</w:t>
      </w:r>
    </w:p>
    <w:p w14:paraId="5F8F675F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启动月度运营服务。</w:t>
      </w:r>
    </w:p>
    <w:p w14:paraId="6444FD46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8" w:name="subsection-36"/>
      <w:r>
        <w:rPr>
          <w:rFonts w:hint="eastAsia" w:ascii="SimHei" w:hAnsi="SimHei" w:eastAsia="SimHei" w:cs="SimHei"/>
          <w:b w:val="1"/>
          <w:color w:val="212121"/>
          <w:sz w:val="24"/>
        </w:rPr>
        <w:t>第三季度：放大标杆与行业复制</w:t>
      </w:r>
      <w:bookmarkEnd w:id="48"/>
    </w:p>
    <w:p w14:paraId="42C581D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形成5个行业解决方案页面。</w:t>
      </w:r>
    </w:p>
    <w:p w14:paraId="112B152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获取托管型标杆客户。</w:t>
      </w:r>
    </w:p>
    <w:p w14:paraId="69F25A1A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建立企业知识库、客服和内容生产的标准组件。</w:t>
      </w:r>
    </w:p>
    <w:p w14:paraId="7BA02D36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通过案例直播、行业白皮书和联合活动提高品牌可信度。</w:t>
      </w:r>
    </w:p>
    <w:p w14:paraId="06F9365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建立项目毛利和交付质量看板。</w:t>
      </w:r>
    </w:p>
    <w:p w14:paraId="4C325E67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49" w:name="subsection-37"/>
      <w:r>
        <w:rPr>
          <w:rFonts w:hint="eastAsia" w:ascii="SimHei" w:hAnsi="SimHei" w:eastAsia="SimHei" w:cs="SimHei"/>
          <w:b w:val="1"/>
          <w:color w:val="212121"/>
          <w:sz w:val="24"/>
        </w:rPr>
        <w:t>第四季度：形成稳定续费与生态</w:t>
      </w:r>
      <w:bookmarkEnd w:id="49"/>
    </w:p>
    <w:p w14:paraId="0B0BF70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推出年度陪跑和年度托管产品。</w:t>
      </w:r>
    </w:p>
    <w:p w14:paraId="2FF5D11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建立会员续费、顾问续约和运维续费机制。</w:t>
      </w:r>
    </w:p>
    <w:p w14:paraId="362F196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发展区域或行业合作伙伴。</w:t>
      </w:r>
    </w:p>
    <w:p w14:paraId="2B69084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复盘高毛利产品，淘汰低复购、难交付项目。</w:t>
      </w:r>
    </w:p>
    <w:p w14:paraId="4F20E2E9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制定下一年度产品升级、团队和渠道计划。</w:t>
      </w:r>
    </w:p>
    <w:p w14:paraId="3DFBD176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50" w:name="section-13"/>
      <w:r>
        <w:rPr>
          <w:rFonts w:hint="eastAsia" w:ascii="SimHei" w:hAnsi="SimHei" w:eastAsia="SimHei" w:cs="SimHei"/>
          <w:b w:val="1"/>
          <w:color w:val="00897b"/>
          <w:sz w:val="28"/>
        </w:rPr>
        <w:t>十二、首年营收测算</w:t>
      </w:r>
      <w:bookmarkEnd w:id="50"/>
    </w:p>
    <w:p w14:paraId="6E1900B3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以下为保守示例，用于验证产品结构，不代表收益承诺。工具包按平均客单价¥8,000测算，托管型按起售价¥98,000测算。</w:t>
      </w:r>
    </w:p>
    <w:tbl>
      <w:tblPr>
        <w:tblW w:w="8306" w:type="dxa"/>
        <w:shd w:color="21212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4"/>
        <w:gridCol w:w="1384"/>
        <w:gridCol w:w="1384"/>
        <w:gridCol w:w="1384"/>
        <w:gridCol w:w="1384"/>
        <w:gridCol w:w="1384"/>
      </w:tblGrid>
      <w:tr>
        <w:trPr>
          <w:tblHeader w:val="1"/>
        </w:trPr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135F57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季度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0D492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基础型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6901E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陪跑型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C7B5A1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托管型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55B948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工具包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shd w:val="clear" w:fill="1565c0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38B588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SimHei" w:hAnsi="SimHei" w:eastAsia="SimHei" w:cs="SimHei"/>
                <w:b w:val="1"/>
                <w:color w:val="ffffff"/>
                <w:sz w:val="18"/>
              </w:rPr>
              <w:t>季度营收</w:t>
            </w:r>
          </w:p>
        </w:tc>
      </w:tr>
      <w:tr>
        <w:trPr/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C04CB7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第一季度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C0D93F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¥29,990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C60386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¥89,400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7449A2F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1F7924B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7B705D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¥127,390</w:t>
            </w:r>
          </w:p>
        </w:tc>
      </w:tr>
      <w:tr>
        <w:trPr/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0390E5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第二季度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005469F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¥59,980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1EAB070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¥149,000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7D22781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¥196,000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7C4FF1D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¥32,000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45A1EE3C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¥436,980</w:t>
            </w:r>
          </w:p>
        </w:tc>
      </w:tr>
      <w:tr>
        <w:trPr/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2051A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第三季度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6366A35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¥89,970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F79ACC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¥238,400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6290C53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¥294,000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61DC3E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¥48,000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82AEB10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¥670,370</w:t>
            </w:r>
          </w:p>
        </w:tc>
      </w:tr>
      <w:tr>
        <w:trPr/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7DBB8F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18"/>
              </w:rPr>
              <w:t>第四季度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9F2159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¥119,960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83D85A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¥298,000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A6970A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¥392,000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A07585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¥64,000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C57AFC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c62828"/>
                <w:sz w:val="18"/>
              </w:rPr>
              <w:t>¥873,960</w:t>
            </w:r>
          </w:p>
        </w:tc>
      </w:tr>
      <w:tr>
        <w:trPr/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BDEE45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212121"/>
                <w:sz w:val="18"/>
              </w:rPr>
              <w:t>全年合计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A4E16E0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212121"/>
                <w:sz w:val="18"/>
              </w:rPr>
              <w:t>¥299,900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C728613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212121"/>
                <w:sz w:val="18"/>
              </w:rPr>
              <w:t>¥774,800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2B350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212121"/>
                <w:sz w:val="18"/>
              </w:rPr>
              <w:t>¥882,000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0C4A80D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212121"/>
                <w:sz w:val="18"/>
              </w:rPr>
              <w:t>¥152,000</w:t>
            </w:r>
          </w:p>
        </w:tc>
        <w:tc>
          <w:tcPr>
            <w:tcW w:w="1384" w:type="dxa"/>
            <w:tcBorders>
              <w:top w:val="single" w:color="d9e2ec" w:sz="6"/>
              <w:left w:val="single" w:color="d9e2ec" w:sz="6"/>
              <w:bottom w:val="single" w:color="d9e2ec" w:sz="6"/>
              <w:right w:val="single" w:color="d9e2ec" w:sz="6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721260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b w:val="1"/>
                <w:color w:val="212121"/>
                <w:sz w:val="18"/>
              </w:rPr>
              <w:t>¥2,108,700</w:t>
            </w:r>
          </w:p>
        </w:tc>
      </w:tr>
    </w:tbl>
    <w:p w14:paraId="0DB5929C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议毛利目标：基础型不低于80%，陪跑型不低于60%，标准工具包不低于50%，托管型不低于45%。低客单价工具包须以模板化、组件化交付控制人工成本，避免为冲量接单拖累整体毛利。项目报价前必须核算人工、外包、云资源、模型调用、平台账号、售后和渠道成本。</w:t>
      </w:r>
    </w:p>
    <w:p w14:paraId="3304FB99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1" w:name="subsection-38"/>
      <w:r>
        <w:rPr>
          <w:rFonts w:hint="eastAsia" w:ascii="SimHei" w:hAnsi="SimHei" w:eastAsia="SimHei" w:cs="SimHei"/>
          <w:b w:val="1"/>
          <w:color w:val="212121"/>
          <w:sz w:val="24"/>
        </w:rPr>
        <w:t>12.1 核心经营指标</w:t>
      </w:r>
      <w:bookmarkEnd w:id="51"/>
    </w:p>
    <w:p w14:paraId="26EB228B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线索到付费客户转化率。</w:t>
      </w:r>
    </w:p>
    <w:p w14:paraId="4C2ABD6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基础型到陪跑型升级率。</w:t>
      </w:r>
    </w:p>
    <w:p w14:paraId="68A93D74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陪跑型到工具包或托管型升级率。</w:t>
      </w:r>
    </w:p>
    <w:p w14:paraId="76C4584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项目按期交付率和一次验收通过率。</w:t>
      </w:r>
    </w:p>
    <w:p w14:paraId="15699066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客户满意度、续费率和转介绍率。</w:t>
      </w:r>
    </w:p>
    <w:p w14:paraId="13D20C00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单项目毛利、交付人天和售后工时。</w:t>
      </w:r>
    </w:p>
    <w:p w14:paraId="5C8B217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案例授权率和可复用资产数量。</w:t>
      </w:r>
    </w:p>
    <w:p w14:paraId="0E59B4EA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52" w:name="section-14"/>
      <w:r>
        <w:rPr>
          <w:rFonts w:hint="eastAsia" w:ascii="SimHei" w:hAnsi="SimHei" w:eastAsia="SimHei" w:cs="SimHei"/>
          <w:b w:val="1"/>
          <w:color w:val="00897b"/>
          <w:sz w:val="28"/>
        </w:rPr>
        <w:t>十三、官网建设方案</w:t>
      </w:r>
      <w:bookmarkEnd w:id="52"/>
    </w:p>
    <w:p w14:paraId="71CE0B4D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3" w:name="subsection-39"/>
      <w:r>
        <w:rPr>
          <w:rFonts w:hint="eastAsia" w:ascii="SimHei" w:hAnsi="SimHei" w:eastAsia="SimHei" w:cs="SimHei"/>
          <w:b w:val="1"/>
          <w:color w:val="212121"/>
          <w:sz w:val="24"/>
        </w:rPr>
        <w:t>13.1 官网目标</w:t>
      </w:r>
      <w:bookmarkEnd w:id="53"/>
    </w:p>
    <w:p w14:paraId="1F1D27E3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官网的首要任务不是展示技术，而是帮助访问者快速理解服务、判断适配度并提交咨询。页面应突出“从学会使用，到陪跑落地，再到全程托管”的升级路径。</w:t>
      </w:r>
    </w:p>
    <w:p w14:paraId="41698757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4" w:name="subsection-40"/>
      <w:r>
        <w:rPr>
          <w:rFonts w:hint="eastAsia" w:ascii="SimHei" w:hAnsi="SimHei" w:eastAsia="SimHei" w:cs="SimHei"/>
          <w:b w:val="1"/>
          <w:color w:val="212121"/>
          <w:sz w:val="24"/>
        </w:rPr>
        <w:t>13.2 建议栏目</w:t>
      </w:r>
      <w:bookmarkEnd w:id="54"/>
    </w:p>
    <w:p w14:paraId="2785ECF4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首页</w:t>
      </w:r>
      <w:r>
        <w:rPr>
          <w:rFonts w:hint="eastAsia" w:ascii="SimSun" w:hAnsi="SimSun" w:eastAsia="SimSun" w:cs="SimSun"/>
          <w:color w:val="212121"/>
          <w:sz w:val="24"/>
        </w:rPr>
        <w:t>：价值主张、三级服务包、核心工具包、适用行业、实施流程、案例和咨询入口。</w:t>
      </w:r>
    </w:p>
    <w:p w14:paraId="17F27217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服务包</w:t>
      </w:r>
      <w:r>
        <w:rPr>
          <w:rFonts w:hint="eastAsia" w:ascii="SimSun" w:hAnsi="SimSun" w:eastAsia="SimSun" w:cs="SimSun"/>
          <w:color w:val="212121"/>
          <w:sz w:val="24"/>
        </w:rPr>
        <w:t>：基础型、陪跑型、托管型详细权益、价格和对比。</w:t>
      </w:r>
    </w:p>
    <w:p w14:paraId="6C6F86F1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工具包</w:t>
      </w:r>
      <w:r>
        <w:rPr>
          <w:rFonts w:hint="eastAsia" w:ascii="SimSun" w:hAnsi="SimSun" w:eastAsia="SimSun" w:cs="SimSun"/>
          <w:color w:val="212121"/>
          <w:sz w:val="24"/>
        </w:rPr>
        <w:t>：12类场景工具包，支持按“获客、内容、客服、办公、数据、知识”筛选。</w:t>
      </w:r>
    </w:p>
    <w:p w14:paraId="17C4CE85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行业方案</w:t>
      </w:r>
      <w:r>
        <w:rPr>
          <w:rFonts w:hint="eastAsia" w:ascii="SimSun" w:hAnsi="SimSun" w:eastAsia="SimSun" w:cs="SimSun"/>
          <w:color w:val="212121"/>
          <w:sz w:val="24"/>
        </w:rPr>
        <w:t>：电商、教育、本地生活、专业服务、制造、文旅、医疗健康。</w:t>
      </w:r>
    </w:p>
    <w:p w14:paraId="47853554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案例</w:t>
      </w:r>
      <w:r>
        <w:rPr>
          <w:rFonts w:hint="eastAsia" w:ascii="SimSun" w:hAnsi="SimSun" w:eastAsia="SimSun" w:cs="SimSun"/>
          <w:color w:val="212121"/>
          <w:sz w:val="24"/>
        </w:rPr>
        <w:t>：客户背景、问题、方案、交付物、结果和客户评价。</w:t>
      </w:r>
    </w:p>
    <w:p w14:paraId="44D61CA0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AI诊断</w:t>
      </w:r>
      <w:r>
        <w:rPr>
          <w:rFonts w:hint="eastAsia" w:ascii="SimSun" w:hAnsi="SimSun" w:eastAsia="SimSun" w:cs="SimSun"/>
          <w:color w:val="212121"/>
          <w:sz w:val="24"/>
        </w:rPr>
        <w:t>：收集行业、团队规模、目标、预算和计划时间，输出推荐方案。</w:t>
      </w:r>
    </w:p>
    <w:p w14:paraId="34EB450B">
      <w:pPr>
        <w:numPr>
          <w:ilvl w:val="0"/>
          <w:numId w:val="10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b w:val="1"/>
          <w:color w:val="212121"/>
          <w:sz w:val="24"/>
        </w:rPr>
        <w:t>关于与联系</w:t>
      </w:r>
      <w:r>
        <w:rPr>
          <w:rFonts w:hint="eastAsia" w:ascii="SimSun" w:hAnsi="SimSun" w:eastAsia="SimSun" w:cs="SimSun"/>
          <w:color w:val="212121"/>
          <w:sz w:val="24"/>
        </w:rPr>
        <w:t>：团队理念、服务流程、合规承诺和联系方式。</w:t>
      </w:r>
    </w:p>
    <w:p w14:paraId="5A2A76E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5" w:name="subsection-41"/>
      <w:r>
        <w:rPr>
          <w:rFonts w:hint="eastAsia" w:ascii="SimHei" w:hAnsi="SimHei" w:eastAsia="SimHei" w:cs="SimHei"/>
          <w:b w:val="1"/>
          <w:color w:val="212121"/>
          <w:sz w:val="24"/>
        </w:rPr>
        <w:t>13.3 首页转化路径</w:t>
      </w:r>
      <w:bookmarkEnd w:id="55"/>
    </w:p>
    <w:p w14:paraId="6C7DBA4A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访问者进入首页后，先看到一句明确主张：“让个人用AI创业，让企业用AI增长。”随后通过三级服务卡片找到自己的服务深度，通过工具包了解具体能力，通过行业方案建立信任，最后通过“免费获取AI落地诊断”提交线索。</w:t>
      </w:r>
    </w:p>
    <w:p w14:paraId="071F1DCC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6" w:name="subsection-42"/>
      <w:r>
        <w:rPr>
          <w:rFonts w:hint="eastAsia" w:ascii="SimHei" w:hAnsi="SimHei" w:eastAsia="SimHei" w:cs="SimHei"/>
          <w:b w:val="1"/>
          <w:color w:val="212121"/>
          <w:sz w:val="24"/>
        </w:rPr>
        <w:t>13.4 官网内容原则</w:t>
      </w:r>
      <w:bookmarkEnd w:id="56"/>
    </w:p>
    <w:p w14:paraId="118DCF1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对所有价格使用“建议价”或“起”，复杂项目引导诊断后报价。</w:t>
      </w:r>
    </w:p>
    <w:p w14:paraId="1C33C6A6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清楚标明第三方费用和客户需要配合的事项。</w:t>
      </w:r>
    </w:p>
    <w:p w14:paraId="2169554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案例必须取得客户授权，未授权时进行匿名化处理。</w:t>
      </w:r>
    </w:p>
    <w:p w14:paraId="32BEA22E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表单遵循最少必要原则，不收集与咨询无关的敏感信息。</w:t>
      </w:r>
    </w:p>
    <w:p w14:paraId="62934591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涉及AI生成、声音、肖像和自动化决策时提供合规说明。</w:t>
      </w:r>
    </w:p>
    <w:p w14:paraId="7BC46E63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57" w:name="section-15"/>
      <w:r>
        <w:rPr>
          <w:rFonts w:hint="eastAsia" w:ascii="SimHei" w:hAnsi="SimHei" w:eastAsia="SimHei" w:cs="SimHei"/>
          <w:b w:val="1"/>
          <w:color w:val="00897b"/>
          <w:sz w:val="28"/>
        </w:rPr>
        <w:t>十四、风险控制与合规要求</w:t>
      </w:r>
      <w:bookmarkEnd w:id="57"/>
    </w:p>
    <w:p w14:paraId="086958B4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8" w:name="subsection-43"/>
      <w:r>
        <w:rPr>
          <w:rFonts w:hint="eastAsia" w:ascii="SimHei" w:hAnsi="SimHei" w:eastAsia="SimHei" w:cs="SimHei"/>
          <w:b w:val="1"/>
          <w:color w:val="212121"/>
          <w:sz w:val="24"/>
        </w:rPr>
        <w:t>14.1 数据与隐私</w:t>
      </w:r>
      <w:bookmarkEnd w:id="58"/>
    </w:p>
    <w:p w14:paraId="02FF16E6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仅收集实现项目所必需的数据，明确用途、保存期限和访问权限。</w:t>
      </w:r>
    </w:p>
    <w:p w14:paraId="14A8A50B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客户数据不得擅自用于训练、案例宣传或其他客户项目。</w:t>
      </w:r>
    </w:p>
    <w:p w14:paraId="5351CCC0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对包含个人信息、商业秘密和敏感业务数据的资料进行分级、脱敏和权限控制。</w:t>
      </w:r>
    </w:p>
    <w:p w14:paraId="408EE91C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选择第三方平台时确认数据存储、删除、日志和跨境传输政策。</w:t>
      </w:r>
    </w:p>
    <w:p w14:paraId="59B1DE80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59" w:name="subsection-44"/>
      <w:r>
        <w:rPr>
          <w:rFonts w:hint="eastAsia" w:ascii="SimHei" w:hAnsi="SimHei" w:eastAsia="SimHei" w:cs="SimHei"/>
          <w:b w:val="1"/>
          <w:color w:val="212121"/>
          <w:sz w:val="24"/>
        </w:rPr>
        <w:t>14.2 内容与知识产权</w:t>
      </w:r>
      <w:bookmarkEnd w:id="59"/>
    </w:p>
    <w:p w14:paraId="3112F530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客户提供的图片、音乐、字体、视频、文档和商标须具备合法授权。</w:t>
      </w:r>
    </w:p>
    <w:p w14:paraId="4857C4A0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AI生成内容上线前进行人工审核，避免侵权、虚假宣传和事实错误。</w:t>
      </w:r>
    </w:p>
    <w:p w14:paraId="087B6297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合同中明确源文件、模型账号、提示词模板、定制代码和通用组件的权利归属。</w:t>
      </w:r>
    </w:p>
    <w:p w14:paraId="6E8B2DBD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0" w:name="subsection-45"/>
      <w:r>
        <w:rPr>
          <w:rFonts w:hint="eastAsia" w:ascii="SimHei" w:hAnsi="SimHei" w:eastAsia="SimHei" w:cs="SimHei"/>
          <w:b w:val="1"/>
          <w:color w:val="212121"/>
          <w:sz w:val="24"/>
        </w:rPr>
        <w:t>14.3 生物特征与数字人</w:t>
      </w:r>
      <w:bookmarkEnd w:id="60"/>
    </w:p>
    <w:p w14:paraId="08FBB2A1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声音和人脸属于高风险信息。必须获得权利人明确授权，限制用途、渠道和使用期限，并提供撤回或停用机制。不得制作冒用身份、欺诈、虚假代言或误导公众的内容。</w:t>
      </w:r>
    </w:p>
    <w:p w14:paraId="61E8F354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1" w:name="subsection-46"/>
      <w:r>
        <w:rPr>
          <w:rFonts w:hint="eastAsia" w:ascii="SimHei" w:hAnsi="SimHei" w:eastAsia="SimHei" w:cs="SimHei"/>
          <w:b w:val="1"/>
          <w:color w:val="212121"/>
          <w:sz w:val="24"/>
        </w:rPr>
        <w:t>14.4 行业与自动化决策</w:t>
      </w:r>
      <w:bookmarkEnd w:id="61"/>
    </w:p>
    <w:p w14:paraId="68239F38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医疗、法律、金融、招聘等高风险场景中，AI只作为辅助，不替代持证人员或有责任主体的专业判断。涉及价格、授信、录用、诊断和法律结论时，必须保留人工复核。</w:t>
      </w:r>
    </w:p>
    <w:p w14:paraId="461AF0D9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2" w:name="subsection-47"/>
      <w:r>
        <w:rPr>
          <w:rFonts w:hint="eastAsia" w:ascii="SimHei" w:hAnsi="SimHei" w:eastAsia="SimHei" w:cs="SimHei"/>
          <w:b w:val="1"/>
          <w:color w:val="212121"/>
          <w:sz w:val="24"/>
        </w:rPr>
        <w:t>14.5 经营风险</w:t>
      </w:r>
      <w:bookmarkEnd w:id="62"/>
    </w:p>
    <w:p w14:paraId="4B9F605D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避免过度承诺模型效果，合同使用可验证的交付指标。</w:t>
      </w:r>
    </w:p>
    <w:p w14:paraId="7FC43384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控制定制开发比例，优先使用标准组件和可复用模板。</w:t>
      </w:r>
    </w:p>
    <w:p w14:paraId="02E3E458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不依赖单一模型或平台，为关键能力保留替代方案。</w:t>
      </w:r>
    </w:p>
    <w:p w14:paraId="72F67EF1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在接单前核算交付产能，避免销售增长快于团队交付能力。</w:t>
      </w:r>
    </w:p>
    <w:p w14:paraId="7C5E7433">
      <w:pPr>
        <w:numPr>
          <w:ilvl w:val="0"/>
          <w:numId w:val="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对外包人员实行保密、权限和成果验收管理。</w:t>
      </w:r>
    </w:p>
    <w:p w14:paraId="2DCE671F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63" w:name="section-16"/>
      <w:r>
        <w:rPr>
          <w:rFonts w:hint="eastAsia" w:ascii="SimHei" w:hAnsi="SimHei" w:eastAsia="SimHei" w:cs="SimHei"/>
          <w:b w:val="1"/>
          <w:color w:val="00897b"/>
          <w:sz w:val="28"/>
        </w:rPr>
        <w:t>十五、立即行动清单</w:t>
      </w:r>
      <w:bookmarkEnd w:id="63"/>
    </w:p>
    <w:p w14:paraId="1099843A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4" w:name="subsection-48"/>
      <w:r>
        <w:rPr>
          <w:rFonts w:hint="eastAsia" w:ascii="SimHei" w:hAnsi="SimHei" w:eastAsia="SimHei" w:cs="SimHei"/>
          <w:b w:val="1"/>
          <w:color w:val="212121"/>
          <w:sz w:val="24"/>
        </w:rPr>
        <w:t>未来30天</w:t>
      </w:r>
      <w:bookmarkEnd w:id="64"/>
    </w:p>
    <w:p w14:paraId="1A3B8A7A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确定品牌名称、视觉风格和一句话价值主张。</w:t>
      </w:r>
    </w:p>
    <w:p w14:paraId="5BDA3049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固化三级服务包权益、价格与合同边界。</w:t>
      </w:r>
    </w:p>
    <w:p w14:paraId="03446D84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从12个工具包中选择4个主推产品：官网与小程序、AI客服、短视频、企业知识库。</w:t>
      </w:r>
    </w:p>
    <w:p w14:paraId="69737E6B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制作诊断问卷、价格册、项目建议书和验收单。</w:t>
      </w:r>
    </w:p>
    <w:p w14:paraId="762A6F39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上线官网最小版本，开通线索收集与预约入口。</w:t>
      </w:r>
    </w:p>
    <w:p w14:paraId="563EBE26">
      <w:pPr>
        <w:numPr>
          <w:ilvl w:val="0"/>
          <w:numId w:val="11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通过现有人脉招募3个首批案例客户。</w:t>
      </w:r>
    </w:p>
    <w:p w14:paraId="1B4FAD35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5" w:name="subsection-49"/>
      <w:r>
        <w:rPr>
          <w:rFonts w:hint="eastAsia" w:ascii="SimHei" w:hAnsi="SimHei" w:eastAsia="SimHei" w:cs="SimHei"/>
          <w:b w:val="1"/>
          <w:color w:val="212121"/>
          <w:sz w:val="24"/>
        </w:rPr>
        <w:t>未来60天</w:t>
      </w:r>
      <w:bookmarkEnd w:id="65"/>
    </w:p>
    <w:p w14:paraId="5C86C89E">
      <w:pPr>
        <w:numPr>
          <w:ilvl w:val="0"/>
          <w:numId w:val="1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交付首批项目并形成案例模板。</w:t>
      </w:r>
    </w:p>
    <w:p w14:paraId="5B0ACB62">
      <w:pPr>
        <w:numPr>
          <w:ilvl w:val="0"/>
          <w:numId w:val="1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建立每周直播、案例文章和短视频内容节奏。</w:t>
      </w:r>
    </w:p>
    <w:p w14:paraId="027D01C5">
      <w:pPr>
        <w:numPr>
          <w:ilvl w:val="0"/>
          <w:numId w:val="1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签约2—3类合作伙伴，覆盖开发、内容和渠道。</w:t>
      </w:r>
    </w:p>
    <w:p w14:paraId="6AAE5F1F">
      <w:pPr>
        <w:numPr>
          <w:ilvl w:val="0"/>
          <w:numId w:val="12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根据交付工时与客户反馈调整价格和服务边界。</w:t>
      </w:r>
    </w:p>
    <w:p w14:paraId="5C1F0C70">
      <w:pPr>
        <w:pStyle w:val="000007"/>
        <w:keepNext w:val="1"/>
        <w:keepLines w:val="1"/>
        <w:spacing w:before="240" w:beforeAutospacing="1" w:after="192" w:afterAutospacing="1" w:line="324"/>
        <w:jc w:val="left"/>
        <w:outlineLvl w:val="2"/>
        <w:rPr>
          <w:color w:val="212121"/>
          <w:sz w:val="32"/>
          <w:szCs w:val="32"/>
        </w:rPr>
      </w:pPr>
      <w:bookmarkStart w:id="66" w:name="subsection-50"/>
      <w:r>
        <w:rPr>
          <w:rFonts w:hint="eastAsia" w:ascii="SimHei" w:hAnsi="SimHei" w:eastAsia="SimHei" w:cs="SimHei"/>
          <w:b w:val="1"/>
          <w:color w:val="212121"/>
          <w:sz w:val="24"/>
        </w:rPr>
        <w:t>未来90天</w:t>
      </w:r>
      <w:bookmarkEnd w:id="66"/>
    </w:p>
    <w:p w14:paraId="5AB506B0">
      <w:pPr>
        <w:numPr>
          <w:ilvl w:val="0"/>
          <w:numId w:val="1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完成至少1个陪跑型和1个托管型标杆案例。</w:t>
      </w:r>
    </w:p>
    <w:p w14:paraId="17528C61">
      <w:pPr>
        <w:numPr>
          <w:ilvl w:val="0"/>
          <w:numId w:val="1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推出3个行业组合包。</w:t>
      </w:r>
    </w:p>
    <w:p w14:paraId="0AC46C59">
      <w:pPr>
        <w:numPr>
          <w:ilvl w:val="0"/>
          <w:numId w:val="1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建立转介绍奖励和客户续费机制。</w:t>
      </w:r>
    </w:p>
    <w:p w14:paraId="5F6143A2">
      <w:pPr>
        <w:numPr>
          <w:ilvl w:val="0"/>
          <w:numId w:val="13"/>
        </w:numPr>
        <w:pBdr>
          <w:left w:space="21"/>
        </w:pBdr>
        <w:spacing w:before="192" w:after="192" w:line="396"/>
        <w:jc w:val="left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形成销售、交付、验收、售后和复盘的完整SOP。</w:t>
      </w:r>
    </w:p>
    <w:p w14:paraId="7A0EF3E6">
      <w:pPr>
        <w:pStyle w:val="000006"/>
        <w:keepNext w:val="1"/>
        <w:keepLines w:val="1"/>
        <w:spacing w:before="240" w:beforeAutospacing="1" w:after="192" w:afterAutospacing="1" w:line="324"/>
        <w:jc w:val="left"/>
        <w:outlineLvl w:val="1"/>
        <w:rPr>
          <w:color w:val="00897b"/>
          <w:sz w:val="32"/>
          <w:szCs w:val="32"/>
        </w:rPr>
      </w:pPr>
      <w:bookmarkStart w:id="67" w:name="section-17"/>
      <w:r>
        <w:rPr>
          <w:rFonts w:hint="eastAsia" w:ascii="SimHei" w:hAnsi="SimHei" w:eastAsia="SimHei" w:cs="SimHei"/>
          <w:b w:val="1"/>
          <w:color w:val="00897b"/>
          <w:sz w:val="28"/>
        </w:rPr>
        <w:t>结语</w:t>
      </w:r>
      <w:bookmarkEnd w:id="67"/>
    </w:p>
    <w:p w14:paraId="74DA13B6">
      <w:pPr>
        <w:spacing w:before="0" w:after="19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AI服务创业的长期竞争力，不在于掌握多少工具，而在于能否把客户问题拆成明确场景，把场景变成标准产品，把产品交付成可验证的业务结果。通过基础型建立客户池、陪跑型建立信任、托管型建立标杆，再以场景工具包和行业组合包提升客单价与复购率，可以形成兼顾规模、利润和口碑的业务结构。</w:t>
      </w:r>
    </w:p>
    <w:p w14:paraId="7443C049">
      <w:pPr>
        <w:spacing w:before="0" w:after="192" w:line="396"/>
        <w:ind w:firstLine="480"/>
        <w:jc w:val="both"/>
        <w:rPr>
          <w:color w:val="212121"/>
        </w:rPr>
        <w:sectPr>
          <w:footerReference r:id="rId5" w:type="default"/>
          <w:type w:val="nextPage"/>
          <w:pgSz w:w="11906" w:h="16838"/>
          <w:pgMar w:top="1440" w:right="1800" w:bottom="1440" w:left="1800" w:header="851" w:footer="992" w:gutter="0"/>
          <w:pgNumType w:start="1"/>
        </w:sectPr>
      </w:pPr>
      <w:r>
        <w:rPr>
          <w:rFonts w:hint="eastAsia" w:ascii="SimSun" w:hAnsi="SimSun" w:eastAsia="SimSun" w:cs="SimSun"/>
          <w:color w:val="212121"/>
          <w:sz w:val="24"/>
        </w:rPr>
        <w:t>本方案建议以“标准化产品先行、陪跑验证价值、托管打造标杆、运营形成复购”为主线，从4个高频工具包和3个首批案例开始，用真实交付不断完善产品，而不是一开始追求覆盖所有工具和行业。</w:t>
      </w:r>
    </w:p>
    <w:p w14:paraId="5693E53D"/>
    <w:sectPr>
      <w:footerReference r:id="rId5" w:type="default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10BD9AD8">
    <w:pPr>
      <w:jc w:val="center"/>
    </w:pPr>
    <w:r>
      <w:rPr>
        <w:color w:val="888888"/>
        <w:sz w:val="18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color w:val="888888"/>
        <w:sz w:val="18"/>
      </w:rPr>
      <w:t xml:space="preserve"> —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1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2">
    <w:lvl w:ilvl="0">
      <w:start w:val="1"/>
      <w:numFmt w:val="decimal"/>
      <w:lvlText w:val="%1."/>
      <w:lvlJc w:val="left"/>
      <w:pPr>
        <w:ind w:left="420" w:hanging="420"/>
      </w:pPr>
    </w:lvl>
  </w:abstractNum>
  <w:num w:numId="7">
    <w:abstractNumId w:val="2"/>
  </w:num>
  <w:num w:numId="9">
    <w:abstractNumId w:val="3"/>
  </w:num>
  <w:num w:numId="6">
    <w:abstractNumId w:val="8"/>
  </w:num>
  <w:num w:numId="13">
    <w:abstractNumId w:val="7"/>
  </w:num>
  <w:num w:numId="11">
    <w:abstractNumId w:val="6"/>
  </w:num>
  <w:num w:numId="4">
    <w:abstractNumId w:val="12"/>
  </w:num>
  <w:num w:numId="10">
    <w:abstractNumId w:val="0"/>
  </w:num>
  <w:num w:numId="12">
    <w:abstractNumId w:val="5"/>
  </w:num>
  <w:num w:numId="8">
    <w:abstractNumId w:val="1"/>
  </w:num>
  <w:num w:numId="1">
    <w:abstractNumId w:val="11"/>
  </w:num>
  <w:num w:numId="5">
    <w:abstractNumId w:val="9"/>
  </w:num>
  <w:num w:numId="2">
    <w:abstractNumId w:val="10"/>
  </w:num>
  <w:num w:numId="3">
    <w:abstractNumId w:val="4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Continue 5" w:semiHidden="1" w:unhideWhenUsed="1"/>
    <w:lsdException w:name="index 6" w:semiHidden="1" w:unhideWhenUsed="1"/>
    <w:lsdException w:name="toc 5" w:uiPriority="39" w:semiHidden="1" w:unhideWhenUsed="1"/>
    <w:lsdException w:name="heading 8" w:uiPriority="9" w:semiHidden="1" w:unhideWhenUsed="1" w:qFormat="1"/>
    <w:lsdException w:name="Salutation" w:semiHidden="1" w:unhideWhenUsed="1"/>
    <w:lsdException w:name="table of authorities" w:semiHidden="1" w:unhideWhenUsed="1"/>
    <w:lsdException w:name="Body Text Indent" w:semiHidden="1" w:unhideWhenUsed="1"/>
    <w:lsdException w:name="List 4" w:semiHidden="1" w:unhideWhenUsed="1"/>
    <w:lsdException w:name="toc 2" w:uiPriority="39" w:semiHidden="1" w:unhideWhenUsed="1"/>
    <w:lsdException w:name="toc 6" w:uiPriority="39" w:semiHidden="1" w:unhideWhenUsed="1"/>
    <w:lsdException w:name="caption" w:uiPriority="35" w:semiHidden="1" w:unhideWhenUsed="1" w:qFormat="1"/>
    <w:lsdException w:name="toc 4" w:uiPriority="39" w:semiHidden="1" w:unhideWhenUsed="1"/>
    <w:lsdException w:name="index 7" w:semiHidden="1" w:unhideWhenUsed="1"/>
    <w:lsdException w:name="Block Text" w:semiHidden="1" w:unhideWhenUsed="1"/>
    <w:lsdException w:name="List 3" w:semiHidden="1" w:unhideWhenUsed="1"/>
    <w:lsdException w:name="index 9" w:semiHidden="1" w:unhideWhenUsed="1"/>
    <w:lsdException w:name="List Number 3" w:semiHidden="1" w:unhideWhenUsed="1"/>
    <w:lsdException w:name="index 4" w:semiHidden="1" w:unhideWhenUsed="1"/>
    <w:lsdException w:name="envelope address" w:semiHidden="1" w:unhideWhenUsed="1"/>
    <w:lsdException w:name="Body Text First Indent" w:semiHidden="1" w:unhideWhenUsed="1"/>
    <w:lsdException w:name="endnote reference" w:semiHidden="1" w:unhideWhenUsed="1"/>
    <w:lsdException w:name="FollowedHyperlink" w:semiHidden="1" w:unhideWhenUsed="1"/>
    <w:lsdException w:name="List Bullet 3" w:semiHidden="1" w:unhideWhenUsed="1"/>
    <w:lsdException w:name="index 2" w:semiHidden="1" w:unhideWhenUsed="1"/>
    <w:lsdException w:name="Closing" w:semiHidden="1" w:unhideWhenUsed="1"/>
    <w:lsdException w:name="Default Paragraph Font" w:uiPriority="1" w:semiHidden="1" w:unhideWhenUsed="1"/>
    <w:lsdException w:name="Hyperlink" w:semiHidden="1" w:unhideWhenUsed="1"/>
    <w:lsdException w:name="List Bullet 4" w:semiHidden="1" w:unhideWhenUsed="1"/>
    <w:lsdException w:name="footnote reference" w:semiHidden="1" w:unhideWhenUsed="1"/>
    <w:lsdException w:name="annotation reference" w:semiHidden="1" w:unhideWhenUsed="1"/>
    <w:lsdException w:name="List Bullet 2" w:semiHidden="1" w:unhideWhenUsed="1"/>
    <w:lsdException w:name="Message Header" w:semiHidden="1" w:unhideWhenUsed="1"/>
    <w:lsdException w:name="heading 9" w:uiPriority="9" w:semiHidden="1" w:unhideWhenUsed="1" w:qFormat="1"/>
    <w:lsdException w:name="List" w:semiHidden="1" w:unhideWhenUsed="1"/>
    <w:lsdException w:name="heading 5" w:uiPriority="9" w:semiHidden="1" w:unhideWhenUsed="1" w:qFormat="1"/>
    <w:lsdException w:name="table of figures" w:semiHidden="1" w:unhideWhenUsed="1"/>
    <w:lsdException w:name="heading 2" w:uiPriority="9" w:semiHidden="1" w:unhideWhenUsed="1" w:qFormat="1"/>
    <w:lsdException w:name="line number" w:semiHidden="1" w:unhideWhenUsed="1"/>
    <w:lsdException w:name="List Number 2" w:semiHidden="1" w:unhideWhenUsed="1"/>
    <w:lsdException w:name="footnote text" w:semiHidden="1" w:unhideWhenUsed="1"/>
    <w:lsdException w:name="heading 4" w:uiPriority="9" w:semiHidden="1" w:unhideWhenUsed="1" w:qFormat="1"/>
    <w:lsdException w:name="List Continue 3" w:semiHidden="1" w:unhideWhenUsed="1"/>
    <w:lsdException w:name="toc 7" w:uiPriority="39" w:semiHidden="1" w:unhideWhenUsed="1"/>
    <w:lsdException w:name="Strong" w:uiPriority="22" w:qFormat="1"/>
    <w:lsdException w:name="Normal Indent" w:semiHidden="1" w:unhideWhenUsed="1"/>
    <w:lsdException w:name="heading 1" w:uiPriority="9" w:qFormat="1"/>
    <w:lsdException w:name="envelope return" w:semiHidden="1" w:unhideWhenUsed="1"/>
    <w:lsdException w:name="Body Text First Indent 2" w:semiHidden="1" w:unhideWhenUsed="1"/>
    <w:lsdException w:name="macro" w:semiHidden="1" w:unhideWhenUsed="1"/>
    <w:lsdException w:name="Date" w:semiHidden="1" w:unhideWhenUsed="1"/>
    <w:lsdException w:name="Body Text" w:semiHidden="1" w:unhideWhenUsed="1"/>
    <w:lsdException w:name="footer" w:semiHidden="1" w:unhideWhenUsed="1"/>
    <w:lsdException w:name="Body Text 2" w:semiHidden="1" w:unhideWhenUsed="1"/>
    <w:lsdException w:name="Body Text Indent 3" w:semiHidden="1" w:unhideWhenUsed="1"/>
    <w:lsdException w:name="index 8" w:semiHidden="1" w:unhideWhenUsed="1"/>
    <w:lsdException w:name="Subtitle" w:uiPriority="11" w:qFormat="1"/>
    <w:lsdException w:name="heading 6" w:uiPriority="9" w:semiHidden="1" w:unhideWhenUsed="1" w:qFormat="1"/>
    <w:lsdException w:name="index heading" w:semiHidden="1" w:unhideWhenUsed="1"/>
    <w:lsdException w:name="endnote text" w:semiHidden="1" w:unhideWhenUsed="1"/>
    <w:lsdException w:name="List Number 5" w:semiHidden="1" w:unhideWhenUsed="1"/>
    <w:lsdException w:name="List Continue 2" w:semiHidden="1" w:unhideWhenUsed="1"/>
    <w:lsdException w:name="annotation text" w:semiHidden="1" w:unhideWhenUsed="1"/>
    <w:lsdException w:name="Body Text 3" w:semiHidden="1" w:unhideWhenUsed="1"/>
    <w:lsdException w:name="List Bullet 5" w:semiHidden="1" w:unhideWhenUsed="1"/>
    <w:lsdException w:name="Body Text Indent 2" w:semiHidden="1" w:unhideWhenUsed="1"/>
    <w:lsdException w:name="page number" w:semiHidden="1" w:unhideWhenUsed="1"/>
    <w:lsdException w:name="List 5" w:semiHidden="1" w:unhideWhenUsed="1"/>
    <w:lsdException w:name="toc 3" w:uiPriority="39" w:semiHidden="1" w:unhideWhenUsed="1"/>
    <w:lsdException w:name="Title" w:uiPriority="10" w:qFormat="1"/>
    <w:lsdException w:name="Note Heading" w:semiHidden="1" w:unhideWhenUsed="1"/>
    <w:lsdException w:name="List Number 4" w:semiHidden="1" w:unhideWhenUsed="1"/>
    <w:lsdException w:name="header" w:semiHidden="1" w:unhideWhenUsed="1"/>
    <w:lsdException w:name="Signature" w:semiHidden="1" w:unhideWhenUsed="1"/>
    <w:lsdException w:name="toa heading" w:semiHidden="1" w:unhideWhenUsed="1"/>
    <w:lsdException w:name="List 2" w:semiHidden="1" w:unhideWhenUsed="1"/>
    <w:lsdException w:name="heading 7" w:uiPriority="9" w:semiHidden="1" w:unhideWhenUsed="1" w:qFormat="1"/>
    <w:lsdException w:name="List Continue" w:semiHidden="1" w:unhideWhenUsed="1"/>
    <w:lsdException w:name="List Continue 4" w:semiHidden="1" w:unhideWhenUsed="1"/>
    <w:lsdException w:name="Normal" w:uiPriority="0" w:qFormat="1"/>
    <w:lsdException w:name="index 3" w:semiHidden="1" w:unhideWhenUsed="1"/>
    <w:lsdException w:name="toc 8" w:uiPriority="39" w:semiHidden="1" w:unhideWhenUsed="1"/>
    <w:lsdException w:name="heading 3" w:uiPriority="9" w:semiHidden="1" w:unhideWhenUsed="1" w:qFormat="1"/>
    <w:lsdException w:name="toc 1" w:uiPriority="39" w:semiHidden="1" w:unhideWhenUsed="1"/>
    <w:lsdException w:name="index 1" w:semiHidden="1" w:unhideWhenUsed="1"/>
    <w:lsdException w:name="index 5" w:semiHidden="1" w:unhideWhenUsed="1"/>
    <w:lsdException w:name="List Bullet" w:semiHidden="1" w:unhideWhenUsed="1"/>
    <w:lsdException w:name="List Number" w:semiHidden="1" w:unhideWhenUsed="1"/>
    <w:lsdException w:name="toc 9" w:uiPriority="39" w:semiHidden="1" w:unhideWhenUsed="1"/>
  </w:latentStyles>
  <w:style w:type="paragraph" w:styleId="000005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7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toc 2"/>
    <w:basedOn w:val="Normal"/>
    <w:qFormat w:val="1"/>
    <w:pPr>
      <w:tabs>
        <w:tab w:val="right" w:leader="dot" w:pos="9072"/>
      </w:tabs>
      <w:spacing w:after="60" w:line="360"/>
      <w:ind w:left="420"/>
    </w:pPr>
    <w:rPr>
      <w:rFonts w:ascii="SimSun" w:hAnsi="SimSun" w:eastAsia="SimSun" w:cs="SimSun"/>
      <w:sz w:val="24"/>
      <w:szCs w:val="24"/>
    </w:rPr>
  </w:style>
  <w:style w:type="paragraph" w:styleId="000003">
    <w:name w:val="toc 1"/>
    <w:basedOn w:val="Normal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  <w:style w:type="paragraph" w:styleId="000006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2026-10-26T00:12:32Z</dcterms:created>
  <dcterms:modified xsi:type="dcterms:W3CDTF">2026-10-26T00:12:32Z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"01a173ce070a7ac49f48edd926efc879", "ReservedCode1": "", "ContentPropagator": "00119111010856365494821B355", "PropagateID": "01a173ce070a7ac49f48edd926efc879", "ReservedCode2": ""}}</vt:lpwstr>
  </property>
</Properties>
</file>